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05"/>
        <w:gridCol w:w="4848"/>
      </w:tblGrid>
      <w:tr w:rsidR="00032822" w:rsidRPr="00032822" w:rsidTr="00032822">
        <w:trPr>
          <w:tblCellSpacing w:w="0" w:type="dxa"/>
          <w:jc w:val="center"/>
        </w:trPr>
        <w:tc>
          <w:tcPr>
            <w:tcW w:w="700" w:type="pct"/>
            <w:vAlign w:val="center"/>
            <w:hideMark/>
          </w:tcPr>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1675" cy="78676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pu1AIAANkFAAAOAAAAZHJzL2Uyb0RvYy54bWysVMGOmzAQvVfqP1g+tQcCZAkEtGS1G0JV&#10;aduuuu0HOGDAKtjUdpakVX+mv9If69gk2WT3UrXlYNkz5s28N+O5vNp2LXqgUjHBU+xPPIwoL0TJ&#10;eJ3iz59yZ46R0oSXpBWcpnhHFb5avHxxOfQJnYpGtCWVCEC4SoY+xY3WfeK6qmhoR9RE9JSDsxKy&#10;IxqOsnZLSQZA71p36nmhOwhZ9lIUVCmwZqMTLyx+VdFCf6gqRTVqUwy5abtKu67N6i4uSVJL0jes&#10;2KdB/iKLjjAOQY9QGdEEbSR7BtWxQgolKj0pROeKqmIFtRyAje89YXPfkJ5aLiCO6o8yqf8HW7x/&#10;uJOIlVA7jDjpoEQfqf71k9ebViCwlVQVoNeNJEpLMqlZhV4FF1GI1jtN1Wsj4NCrBHDu+ztpJFD9&#10;rSi+KMTFsiG8pteqhzKMAQ4mKcXQUFICE99AuGcY5qAADa2Hd6KElMhGCyvvtpKdiQHCoa2t4u5Y&#10;RbrVqABj5PlhNMOoAFc0D6NwZiOQ5PBzL5V+Q0WHzCbFErKz4OThVmmTDEkOV0wsLnLWtrZRWn5m&#10;gIujBULDr8ZnkrB1/x578Wq+mgdOMA1XTuBlmXOdLwMnzP1oll1ky2Xm/zBx/SBpWFlSbsIcetAP&#10;/qzG+9cwds+xC5VoWWngTEpK1utlK9EDgTeQ228vyMk19zwNKwJweULJnwbezTR28nAeOUEezJw4&#10;8uaO58c3cegFcZDl55RuGaf/TgkNKY5n05mt0knST7h59nvOjSQd0zBlWtaleH68RBLTgSte2tJq&#10;wtpxfyKFSf9RCij3odC2X02Ljt2/FuUO2lUKaCeYMjAPYdMI+Q2jAWZLitXXDZEUo/Yth5aP/SAw&#10;w8geglk0hYM89axPPYQXAJVijdG4XepxgG16yeoGIvlWGC6u4ZlUzLaweUJjVvvHBfPDMtnPOjOg&#10;Ts/21uNEXvwGAAD//wMAUEsDBBQABgAIAAAAIQBFjrn53QAAAAUBAAAPAAAAZHJzL2Rvd25yZXYu&#10;eG1sTI9PS8NAEMXvQr/DMgUvYjetKBqzKVIQiwil6Z/zNDtNQrOzaXabxG/v1otehje84b3fJPPB&#10;1KKj1lWWFUwnEQji3OqKCwXbzfv9MwjnkTXWlknBNzmYp6ObBGNte15Tl/lChBB2MSoovW9iKV1e&#10;kkE3sQ1x8I62NejD2hZSt9iHcFPLWRQ9SYMVh4YSG1qUlJ+yi1HQ56tuv/n6kKu7/dLyeXleZLtP&#10;pW7Hw9srCE+D/zuGK35AhzQwHeyFtRO1gvCI/51Xbxo9gjgEMXt4AZkm8j99+gMAAP//AwBQSwEC&#10;LQAUAAYACAAAACEAtoM4kv4AAADhAQAAEwAAAAAAAAAAAAAAAAAAAAAAW0NvbnRlbnRfVHlwZXNd&#10;LnhtbFBLAQItABQABgAIAAAAIQA4/SH/1gAAAJQBAAALAAAAAAAAAAAAAAAAAC8BAABfcmVscy8u&#10;cmVsc1BLAQItABQABgAIAAAAIQBTgCpu1AIAANkFAAAOAAAAAAAAAAAAAAAAAC4CAABkcnMvZTJv&#10;RG9jLnhtbFBLAQItABQABgAIAAAAIQBFjrn53QAAAAUBAAAPAAAAAAAAAAAAAAAAAC4FAABkcnMv&#10;ZG93bnJldi54bWxQSwUGAAAAAAQABADzAAAAOAYAAAAA&#10;" filled="f" stroked="f">
                      <o:lock v:ext="edit" aspectratio="t"/>
                      <w10:anchorlock/>
                    </v:rect>
                  </w:pict>
                </mc:Fallback>
              </mc:AlternateContent>
            </w:r>
          </w:p>
        </w:tc>
        <w:tc>
          <w:tcPr>
            <w:tcW w:w="4300" w:type="pct"/>
            <w:vAlign w:val="center"/>
            <w:hideMark/>
          </w:tcPr>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32822">
              <w:rPr>
                <w:rFonts w:ascii="Arial" w:eastAsia="Times New Roman" w:hAnsi="Arial" w:cs="Arial"/>
                <w:b/>
                <w:bCs/>
                <w:color w:val="808000"/>
                <w:sz w:val="36"/>
                <w:szCs w:val="36"/>
                <w:lang w:eastAsia="pt-BR"/>
              </w:rPr>
              <w:t>Presidência da República</w:t>
            </w:r>
            <w:r w:rsidRPr="00032822">
              <w:rPr>
                <w:rFonts w:ascii="Arial" w:eastAsia="Times New Roman" w:hAnsi="Arial" w:cs="Arial"/>
                <w:b/>
                <w:bCs/>
                <w:color w:val="808000"/>
                <w:sz w:val="24"/>
                <w:szCs w:val="24"/>
                <w:lang w:eastAsia="pt-BR"/>
              </w:rPr>
              <w:br/>
            </w:r>
            <w:r w:rsidRPr="00032822">
              <w:rPr>
                <w:rFonts w:ascii="Arial" w:eastAsia="Times New Roman" w:hAnsi="Arial" w:cs="Arial"/>
                <w:b/>
                <w:bCs/>
                <w:color w:val="808000"/>
                <w:sz w:val="27"/>
                <w:szCs w:val="27"/>
                <w:lang w:eastAsia="pt-BR"/>
              </w:rPr>
              <w:t>Casa Civil</w:t>
            </w:r>
            <w:r w:rsidRPr="00032822">
              <w:rPr>
                <w:rFonts w:ascii="Arial" w:eastAsia="Times New Roman" w:hAnsi="Arial" w:cs="Arial"/>
                <w:b/>
                <w:bCs/>
                <w:color w:val="808000"/>
                <w:sz w:val="27"/>
                <w:szCs w:val="27"/>
                <w:lang w:eastAsia="pt-BR"/>
              </w:rPr>
              <w:br/>
            </w:r>
            <w:r w:rsidRPr="00032822">
              <w:rPr>
                <w:rFonts w:ascii="Arial" w:eastAsia="Times New Roman" w:hAnsi="Arial" w:cs="Arial"/>
                <w:b/>
                <w:bCs/>
                <w:color w:val="808000"/>
                <w:sz w:val="24"/>
                <w:szCs w:val="24"/>
                <w:lang w:eastAsia="pt-BR"/>
              </w:rPr>
              <w:t>Subchefia para Assuntos Jurídicos</w:t>
            </w:r>
          </w:p>
        </w:tc>
      </w:tr>
    </w:tbl>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032822">
          <w:rPr>
            <w:rFonts w:ascii="Arial" w:eastAsia="Times New Roman" w:hAnsi="Arial" w:cs="Arial"/>
            <w:b/>
            <w:bCs/>
            <w:color w:val="000080"/>
            <w:sz w:val="24"/>
            <w:szCs w:val="24"/>
            <w:u w:val="single"/>
            <w:lang w:eastAsia="pt-BR"/>
          </w:rPr>
          <w:t>DECRETO Nº 4.340, DE 22 DE AGOSTO DE 2002</w:t>
        </w:r>
        <w:proofErr w:type="gramStart"/>
      </w:hyperlink>
      <w:proofErr w:type="gramEnd"/>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032822" w:rsidRPr="00032822" w:rsidTr="00032822">
        <w:trPr>
          <w:tblCellSpacing w:w="0" w:type="dxa"/>
        </w:trPr>
        <w:tc>
          <w:tcPr>
            <w:tcW w:w="2600" w:type="pct"/>
            <w:vAlign w:val="center"/>
            <w:hideMark/>
          </w:tcPr>
          <w:p w:rsidR="00032822" w:rsidRPr="00032822" w:rsidRDefault="00032822" w:rsidP="00032822">
            <w:pPr>
              <w:spacing w:after="0" w:line="240" w:lineRule="auto"/>
              <w:rPr>
                <w:rFonts w:ascii="Times New Roman" w:eastAsia="Times New Roman" w:hAnsi="Times New Roman" w:cs="Times New Roman"/>
                <w:sz w:val="24"/>
                <w:szCs w:val="24"/>
                <w:lang w:eastAsia="pt-BR"/>
              </w:rPr>
            </w:pPr>
          </w:p>
        </w:tc>
        <w:tc>
          <w:tcPr>
            <w:tcW w:w="2400" w:type="pct"/>
            <w:vAlign w:val="center"/>
            <w:hideMark/>
          </w:tcPr>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32822">
              <w:rPr>
                <w:rFonts w:ascii="Arial" w:eastAsia="Times New Roman" w:hAnsi="Arial" w:cs="Arial"/>
                <w:color w:val="800000"/>
                <w:sz w:val="20"/>
                <w:szCs w:val="20"/>
                <w:lang w:eastAsia="pt-BR"/>
              </w:rPr>
              <w:t>Regulamenta artigos da Lei n</w:t>
            </w:r>
            <w:r w:rsidRPr="00032822">
              <w:rPr>
                <w:rFonts w:ascii="Arial" w:eastAsia="Times New Roman" w:hAnsi="Arial" w:cs="Arial"/>
                <w:color w:val="800000"/>
                <w:sz w:val="20"/>
                <w:szCs w:val="20"/>
                <w:u w:val="single"/>
                <w:vertAlign w:val="superscript"/>
                <w:lang w:eastAsia="pt-BR"/>
              </w:rPr>
              <w:t>o</w:t>
            </w:r>
            <w:r w:rsidRPr="00032822">
              <w:rPr>
                <w:rFonts w:ascii="Arial" w:eastAsia="Times New Roman" w:hAnsi="Arial" w:cs="Arial"/>
                <w:color w:val="800000"/>
                <w:sz w:val="20"/>
                <w:szCs w:val="20"/>
                <w:lang w:eastAsia="pt-BR"/>
              </w:rPr>
              <w:t> 9.985, de 18 de julho de 2000, que dispõe sobre o Sistema Nacional de Unidades de Conservação da Natureza - SNUC, e dá outras providências.</w:t>
            </w:r>
          </w:p>
        </w:tc>
      </w:tr>
    </w:tbl>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b/>
          <w:bCs/>
          <w:color w:val="000000"/>
          <w:sz w:val="20"/>
          <w:szCs w:val="20"/>
          <w:lang w:eastAsia="pt-BR"/>
        </w:rPr>
        <w:t>        O</w:t>
      </w:r>
      <w:r w:rsidRPr="00032822">
        <w:rPr>
          <w:rFonts w:ascii="Arial" w:eastAsia="Times New Roman" w:hAnsi="Arial" w:cs="Arial"/>
          <w:color w:val="000000"/>
          <w:sz w:val="20"/>
          <w:szCs w:val="20"/>
          <w:lang w:eastAsia="pt-BR"/>
        </w:rPr>
        <w:t> </w:t>
      </w:r>
      <w:r w:rsidRPr="00032822">
        <w:rPr>
          <w:rFonts w:ascii="Arial" w:eastAsia="Times New Roman" w:hAnsi="Arial" w:cs="Arial"/>
          <w:b/>
          <w:bCs/>
          <w:color w:val="000000"/>
          <w:sz w:val="20"/>
          <w:szCs w:val="20"/>
          <w:lang w:eastAsia="pt-BR"/>
        </w:rPr>
        <w:t>PRESIDENTE DA REPÚBLICA</w:t>
      </w:r>
      <w:r w:rsidRPr="00032822">
        <w:rPr>
          <w:rFonts w:ascii="Arial" w:eastAsia="Times New Roman" w:hAnsi="Arial" w:cs="Arial"/>
          <w:color w:val="000000"/>
          <w:sz w:val="20"/>
          <w:szCs w:val="20"/>
          <w:lang w:eastAsia="pt-BR"/>
        </w:rPr>
        <w:t>, no uso das atribuições que lhe conferem o art. 84, inciso IV, e o art. 225, §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incisos I, II, III e VII, da Constituição Federal, e tendo em vista o disposto na Lei n</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9.985, de 18 de julho de 2000,</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b/>
          <w:bCs/>
          <w:color w:val="000000"/>
          <w:sz w:val="27"/>
          <w:szCs w:val="27"/>
          <w:lang w:eastAsia="pt-BR"/>
        </w:rPr>
      </w:pPr>
      <w:r w:rsidRPr="00032822">
        <w:rPr>
          <w:rFonts w:ascii="Arial" w:eastAsia="Times New Roman" w:hAnsi="Arial" w:cs="Arial"/>
          <w:b/>
          <w:bCs/>
          <w:color w:val="000000"/>
          <w:sz w:val="20"/>
          <w:szCs w:val="20"/>
          <w:lang w:eastAsia="pt-BR"/>
        </w:rPr>
        <w:t>        DECRETA: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xml:space="preserve">  Este Decreto regulamenta os </w:t>
      </w:r>
      <w:proofErr w:type="spellStart"/>
      <w:r w:rsidRPr="00032822">
        <w:rPr>
          <w:rFonts w:ascii="Arial" w:eastAsia="Times New Roman" w:hAnsi="Arial" w:cs="Arial"/>
          <w:color w:val="000000"/>
          <w:sz w:val="20"/>
          <w:szCs w:val="20"/>
          <w:lang w:eastAsia="pt-BR"/>
        </w:rPr>
        <w:t>arts</w:t>
      </w:r>
      <w:proofErr w:type="spellEnd"/>
      <w:r w:rsidRPr="00032822">
        <w:rPr>
          <w:rFonts w:ascii="Arial" w:eastAsia="Times New Roman" w:hAnsi="Arial" w:cs="Arial"/>
          <w:color w:val="000000"/>
          <w:sz w:val="20"/>
          <w:szCs w:val="20"/>
          <w:lang w:eastAsia="pt-BR"/>
        </w:rPr>
        <w:t>. </w:t>
      </w:r>
      <w:hyperlink r:id="rId6" w:anchor="art22" w:history="1">
        <w:r w:rsidRPr="00032822">
          <w:rPr>
            <w:rFonts w:ascii="Arial" w:eastAsia="Times New Roman" w:hAnsi="Arial" w:cs="Arial"/>
            <w:color w:val="0000FF"/>
            <w:sz w:val="20"/>
            <w:szCs w:val="20"/>
            <w:u w:val="single"/>
            <w:lang w:eastAsia="pt-BR"/>
          </w:rPr>
          <w:t>22</w:t>
        </w:r>
      </w:hyperlink>
      <w:r w:rsidRPr="00032822">
        <w:rPr>
          <w:rFonts w:ascii="Arial" w:eastAsia="Times New Roman" w:hAnsi="Arial" w:cs="Arial"/>
          <w:color w:val="000000"/>
          <w:sz w:val="20"/>
          <w:szCs w:val="20"/>
          <w:lang w:eastAsia="pt-BR"/>
        </w:rPr>
        <w:t>, </w:t>
      </w:r>
      <w:hyperlink r:id="rId7" w:anchor="art24" w:history="1">
        <w:r w:rsidRPr="00032822">
          <w:rPr>
            <w:rFonts w:ascii="Arial" w:eastAsia="Times New Roman" w:hAnsi="Arial" w:cs="Arial"/>
            <w:color w:val="0000FF"/>
            <w:sz w:val="20"/>
            <w:szCs w:val="20"/>
            <w:u w:val="single"/>
            <w:lang w:eastAsia="pt-BR"/>
          </w:rPr>
          <w:t>24</w:t>
        </w:r>
      </w:hyperlink>
      <w:r w:rsidRPr="00032822">
        <w:rPr>
          <w:rFonts w:ascii="Arial" w:eastAsia="Times New Roman" w:hAnsi="Arial" w:cs="Arial"/>
          <w:color w:val="000000"/>
          <w:sz w:val="20"/>
          <w:szCs w:val="20"/>
          <w:lang w:eastAsia="pt-BR"/>
        </w:rPr>
        <w:t>, </w:t>
      </w:r>
      <w:hyperlink r:id="rId8" w:anchor="art25" w:history="1">
        <w:r w:rsidRPr="00032822">
          <w:rPr>
            <w:rFonts w:ascii="Arial" w:eastAsia="Times New Roman" w:hAnsi="Arial" w:cs="Arial"/>
            <w:color w:val="0000FF"/>
            <w:sz w:val="20"/>
            <w:szCs w:val="20"/>
            <w:u w:val="single"/>
            <w:lang w:eastAsia="pt-BR"/>
          </w:rPr>
          <w:t>25</w:t>
        </w:r>
      </w:hyperlink>
      <w:r w:rsidRPr="00032822">
        <w:rPr>
          <w:rFonts w:ascii="Arial" w:eastAsia="Times New Roman" w:hAnsi="Arial" w:cs="Arial"/>
          <w:color w:val="000000"/>
          <w:sz w:val="20"/>
          <w:szCs w:val="20"/>
          <w:lang w:eastAsia="pt-BR"/>
        </w:rPr>
        <w:t>, </w:t>
      </w:r>
      <w:hyperlink r:id="rId9" w:anchor="art26" w:history="1">
        <w:r w:rsidRPr="00032822">
          <w:rPr>
            <w:rFonts w:ascii="Arial" w:eastAsia="Times New Roman" w:hAnsi="Arial" w:cs="Arial"/>
            <w:color w:val="0000FF"/>
            <w:sz w:val="20"/>
            <w:szCs w:val="20"/>
            <w:u w:val="single"/>
            <w:lang w:eastAsia="pt-BR"/>
          </w:rPr>
          <w:t>26</w:t>
        </w:r>
      </w:hyperlink>
      <w:r w:rsidRPr="00032822">
        <w:rPr>
          <w:rFonts w:ascii="Arial" w:eastAsia="Times New Roman" w:hAnsi="Arial" w:cs="Arial"/>
          <w:color w:val="000000"/>
          <w:sz w:val="20"/>
          <w:szCs w:val="20"/>
          <w:lang w:eastAsia="pt-BR"/>
        </w:rPr>
        <w:t>, </w:t>
      </w:r>
      <w:hyperlink r:id="rId10" w:anchor="art27" w:history="1">
        <w:r w:rsidRPr="00032822">
          <w:rPr>
            <w:rFonts w:ascii="Arial" w:eastAsia="Times New Roman" w:hAnsi="Arial" w:cs="Arial"/>
            <w:color w:val="0000FF"/>
            <w:sz w:val="20"/>
            <w:szCs w:val="20"/>
            <w:u w:val="single"/>
            <w:lang w:eastAsia="pt-BR"/>
          </w:rPr>
          <w:t>27</w:t>
        </w:r>
      </w:hyperlink>
      <w:r w:rsidRPr="00032822">
        <w:rPr>
          <w:rFonts w:ascii="Arial" w:eastAsia="Times New Roman" w:hAnsi="Arial" w:cs="Arial"/>
          <w:color w:val="000000"/>
          <w:sz w:val="20"/>
          <w:szCs w:val="20"/>
          <w:lang w:eastAsia="pt-BR"/>
        </w:rPr>
        <w:t>, </w:t>
      </w:r>
      <w:hyperlink r:id="rId11" w:anchor="art29" w:history="1">
        <w:r w:rsidRPr="00032822">
          <w:rPr>
            <w:rFonts w:ascii="Arial" w:eastAsia="Times New Roman" w:hAnsi="Arial" w:cs="Arial"/>
            <w:color w:val="0000FF"/>
            <w:sz w:val="20"/>
            <w:szCs w:val="20"/>
            <w:u w:val="single"/>
            <w:lang w:eastAsia="pt-BR"/>
          </w:rPr>
          <w:t>29</w:t>
        </w:r>
      </w:hyperlink>
      <w:r w:rsidRPr="00032822">
        <w:rPr>
          <w:rFonts w:ascii="Arial" w:eastAsia="Times New Roman" w:hAnsi="Arial" w:cs="Arial"/>
          <w:color w:val="000000"/>
          <w:sz w:val="20"/>
          <w:szCs w:val="20"/>
          <w:lang w:eastAsia="pt-BR"/>
        </w:rPr>
        <w:t>, </w:t>
      </w:r>
      <w:hyperlink r:id="rId12" w:anchor="art30" w:history="1">
        <w:r w:rsidRPr="00032822">
          <w:rPr>
            <w:rFonts w:ascii="Arial" w:eastAsia="Times New Roman" w:hAnsi="Arial" w:cs="Arial"/>
            <w:color w:val="0000FF"/>
            <w:sz w:val="20"/>
            <w:szCs w:val="20"/>
            <w:u w:val="single"/>
            <w:lang w:eastAsia="pt-BR"/>
          </w:rPr>
          <w:t>30</w:t>
        </w:r>
      </w:hyperlink>
      <w:r w:rsidRPr="00032822">
        <w:rPr>
          <w:rFonts w:ascii="Arial" w:eastAsia="Times New Roman" w:hAnsi="Arial" w:cs="Arial"/>
          <w:color w:val="000000"/>
          <w:sz w:val="20"/>
          <w:szCs w:val="20"/>
          <w:lang w:eastAsia="pt-BR"/>
        </w:rPr>
        <w:t>, </w:t>
      </w:r>
      <w:hyperlink r:id="rId13" w:anchor="art33" w:history="1">
        <w:r w:rsidRPr="00032822">
          <w:rPr>
            <w:rFonts w:ascii="Arial" w:eastAsia="Times New Roman" w:hAnsi="Arial" w:cs="Arial"/>
            <w:color w:val="0000FF"/>
            <w:sz w:val="20"/>
            <w:szCs w:val="20"/>
            <w:u w:val="single"/>
            <w:lang w:eastAsia="pt-BR"/>
          </w:rPr>
          <w:t>33</w:t>
        </w:r>
      </w:hyperlink>
      <w:r w:rsidRPr="00032822">
        <w:rPr>
          <w:rFonts w:ascii="Arial" w:eastAsia="Times New Roman" w:hAnsi="Arial" w:cs="Arial"/>
          <w:color w:val="000000"/>
          <w:sz w:val="20"/>
          <w:szCs w:val="20"/>
          <w:lang w:eastAsia="pt-BR"/>
        </w:rPr>
        <w:t>, </w:t>
      </w:r>
      <w:hyperlink r:id="rId14" w:anchor="art36" w:history="1">
        <w:r w:rsidRPr="00032822">
          <w:rPr>
            <w:rFonts w:ascii="Arial" w:eastAsia="Times New Roman" w:hAnsi="Arial" w:cs="Arial"/>
            <w:color w:val="0000FF"/>
            <w:sz w:val="20"/>
            <w:szCs w:val="20"/>
            <w:u w:val="single"/>
            <w:lang w:eastAsia="pt-BR"/>
          </w:rPr>
          <w:t>36</w:t>
        </w:r>
      </w:hyperlink>
      <w:r w:rsidRPr="00032822">
        <w:rPr>
          <w:rFonts w:ascii="Arial" w:eastAsia="Times New Roman" w:hAnsi="Arial" w:cs="Arial"/>
          <w:color w:val="000000"/>
          <w:sz w:val="20"/>
          <w:szCs w:val="20"/>
          <w:lang w:eastAsia="pt-BR"/>
        </w:rPr>
        <w:t>, </w:t>
      </w:r>
      <w:hyperlink r:id="rId15" w:anchor="art41" w:history="1">
        <w:r w:rsidRPr="00032822">
          <w:rPr>
            <w:rFonts w:ascii="Arial" w:eastAsia="Times New Roman" w:hAnsi="Arial" w:cs="Arial"/>
            <w:color w:val="0000FF"/>
            <w:sz w:val="20"/>
            <w:szCs w:val="20"/>
            <w:u w:val="single"/>
            <w:lang w:eastAsia="pt-BR"/>
          </w:rPr>
          <w:t>41</w:t>
        </w:r>
      </w:hyperlink>
      <w:r w:rsidRPr="00032822">
        <w:rPr>
          <w:rFonts w:ascii="Arial" w:eastAsia="Times New Roman" w:hAnsi="Arial" w:cs="Arial"/>
          <w:color w:val="000000"/>
          <w:sz w:val="20"/>
          <w:szCs w:val="20"/>
          <w:lang w:eastAsia="pt-BR"/>
        </w:rPr>
        <w:t>, </w:t>
      </w:r>
      <w:hyperlink r:id="rId16" w:anchor="art42" w:history="1">
        <w:r w:rsidRPr="00032822">
          <w:rPr>
            <w:rFonts w:ascii="Arial" w:eastAsia="Times New Roman" w:hAnsi="Arial" w:cs="Arial"/>
            <w:color w:val="0000FF"/>
            <w:sz w:val="20"/>
            <w:szCs w:val="20"/>
            <w:u w:val="single"/>
            <w:lang w:eastAsia="pt-BR"/>
          </w:rPr>
          <w:t>42</w:t>
        </w:r>
      </w:hyperlink>
      <w:r w:rsidRPr="00032822">
        <w:rPr>
          <w:rFonts w:ascii="Arial" w:eastAsia="Times New Roman" w:hAnsi="Arial" w:cs="Arial"/>
          <w:color w:val="000000"/>
          <w:sz w:val="20"/>
          <w:szCs w:val="20"/>
          <w:lang w:eastAsia="pt-BR"/>
        </w:rPr>
        <w:t>, </w:t>
      </w:r>
      <w:hyperlink r:id="rId17" w:anchor="art47" w:history="1">
        <w:r w:rsidRPr="00032822">
          <w:rPr>
            <w:rFonts w:ascii="Arial" w:eastAsia="Times New Roman" w:hAnsi="Arial" w:cs="Arial"/>
            <w:color w:val="0000FF"/>
            <w:sz w:val="20"/>
            <w:szCs w:val="20"/>
            <w:u w:val="single"/>
            <w:lang w:eastAsia="pt-BR"/>
          </w:rPr>
          <w:t>47</w:t>
        </w:r>
      </w:hyperlink>
      <w:r w:rsidRPr="00032822">
        <w:rPr>
          <w:rFonts w:ascii="Arial" w:eastAsia="Times New Roman" w:hAnsi="Arial" w:cs="Arial"/>
          <w:color w:val="000000"/>
          <w:sz w:val="20"/>
          <w:szCs w:val="20"/>
          <w:lang w:eastAsia="pt-BR"/>
        </w:rPr>
        <w:t>, </w:t>
      </w:r>
      <w:hyperlink r:id="rId18" w:anchor="art48" w:history="1">
        <w:r w:rsidRPr="00032822">
          <w:rPr>
            <w:rFonts w:ascii="Arial" w:eastAsia="Times New Roman" w:hAnsi="Arial" w:cs="Arial"/>
            <w:color w:val="0000FF"/>
            <w:sz w:val="20"/>
            <w:szCs w:val="20"/>
            <w:u w:val="single"/>
            <w:lang w:eastAsia="pt-BR"/>
          </w:rPr>
          <w:t>48</w:t>
        </w:r>
      </w:hyperlink>
      <w:r w:rsidRPr="00032822">
        <w:rPr>
          <w:rFonts w:ascii="Arial" w:eastAsia="Times New Roman" w:hAnsi="Arial" w:cs="Arial"/>
          <w:color w:val="000000"/>
          <w:sz w:val="20"/>
          <w:szCs w:val="20"/>
          <w:lang w:eastAsia="pt-BR"/>
        </w:rPr>
        <w:t> e</w:t>
      </w:r>
      <w:hyperlink r:id="rId19" w:anchor="art55" w:history="1">
        <w:r w:rsidRPr="00032822">
          <w:rPr>
            <w:rFonts w:ascii="Arial" w:eastAsia="Times New Roman" w:hAnsi="Arial" w:cs="Arial"/>
            <w:color w:val="0000FF"/>
            <w:sz w:val="20"/>
            <w:szCs w:val="20"/>
            <w:u w:val="single"/>
            <w:lang w:eastAsia="pt-BR"/>
          </w:rPr>
          <w:t> 55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9.985, de 18 de julho de 2000</w:t>
        </w:r>
      </w:hyperlink>
      <w:r w:rsidRPr="00032822">
        <w:rPr>
          <w:rFonts w:ascii="Arial" w:eastAsia="Times New Roman" w:hAnsi="Arial" w:cs="Arial"/>
          <w:color w:val="000000"/>
          <w:sz w:val="20"/>
          <w:szCs w:val="20"/>
          <w:lang w:eastAsia="pt-BR"/>
        </w:rPr>
        <w:t xml:space="preserve">, bem como os </w:t>
      </w:r>
      <w:proofErr w:type="spellStart"/>
      <w:r w:rsidRPr="00032822">
        <w:rPr>
          <w:rFonts w:ascii="Arial" w:eastAsia="Times New Roman" w:hAnsi="Arial" w:cs="Arial"/>
          <w:color w:val="000000"/>
          <w:sz w:val="20"/>
          <w:szCs w:val="20"/>
          <w:lang w:eastAsia="pt-BR"/>
        </w:rPr>
        <w:t>arts</w:t>
      </w:r>
      <w:proofErr w:type="spellEnd"/>
      <w:r w:rsidRPr="00032822">
        <w:rPr>
          <w:rFonts w:ascii="Arial" w:eastAsia="Times New Roman" w:hAnsi="Arial" w:cs="Arial"/>
          <w:color w:val="000000"/>
          <w:sz w:val="20"/>
          <w:szCs w:val="20"/>
          <w:lang w:eastAsia="pt-BR"/>
        </w:rPr>
        <w:t>. </w:t>
      </w:r>
      <w:hyperlink r:id="rId20" w:anchor="art15" w:history="1">
        <w:r w:rsidRPr="00032822">
          <w:rPr>
            <w:rFonts w:ascii="Arial" w:eastAsia="Times New Roman" w:hAnsi="Arial" w:cs="Arial"/>
            <w:color w:val="0000FF"/>
            <w:sz w:val="20"/>
            <w:szCs w:val="20"/>
            <w:u w:val="single"/>
            <w:lang w:eastAsia="pt-BR"/>
          </w:rPr>
          <w:t>15</w:t>
        </w:r>
      </w:hyperlink>
      <w:r w:rsidRPr="00032822">
        <w:rPr>
          <w:rFonts w:ascii="Arial" w:eastAsia="Times New Roman" w:hAnsi="Arial" w:cs="Arial"/>
          <w:color w:val="000000"/>
          <w:sz w:val="20"/>
          <w:szCs w:val="20"/>
          <w:lang w:eastAsia="pt-BR"/>
        </w:rPr>
        <w:t>, </w:t>
      </w:r>
      <w:hyperlink r:id="rId21" w:anchor="art17" w:history="1">
        <w:r w:rsidRPr="00032822">
          <w:rPr>
            <w:rFonts w:ascii="Arial" w:eastAsia="Times New Roman" w:hAnsi="Arial" w:cs="Arial"/>
            <w:color w:val="0000FF"/>
            <w:sz w:val="20"/>
            <w:szCs w:val="20"/>
            <w:u w:val="single"/>
            <w:lang w:eastAsia="pt-BR"/>
          </w:rPr>
          <w:t>17</w:t>
        </w:r>
      </w:hyperlink>
      <w:r w:rsidRPr="00032822">
        <w:rPr>
          <w:rFonts w:ascii="Arial" w:eastAsia="Times New Roman" w:hAnsi="Arial" w:cs="Arial"/>
          <w:color w:val="000000"/>
          <w:sz w:val="20"/>
          <w:szCs w:val="20"/>
          <w:lang w:eastAsia="pt-BR"/>
        </w:rPr>
        <w:t>, </w:t>
      </w:r>
      <w:hyperlink r:id="rId22" w:anchor="art18" w:history="1">
        <w:r w:rsidRPr="00032822">
          <w:rPr>
            <w:rFonts w:ascii="Arial" w:eastAsia="Times New Roman" w:hAnsi="Arial" w:cs="Arial"/>
            <w:color w:val="0000FF"/>
            <w:sz w:val="20"/>
            <w:szCs w:val="20"/>
            <w:u w:val="single"/>
            <w:lang w:eastAsia="pt-BR"/>
          </w:rPr>
          <w:t>18</w:t>
        </w:r>
      </w:hyperlink>
      <w:r w:rsidRPr="00032822">
        <w:rPr>
          <w:rFonts w:ascii="Arial" w:eastAsia="Times New Roman" w:hAnsi="Arial" w:cs="Arial"/>
          <w:color w:val="000000"/>
          <w:sz w:val="20"/>
          <w:szCs w:val="20"/>
          <w:lang w:eastAsia="pt-BR"/>
        </w:rPr>
        <w:t> e </w:t>
      </w:r>
      <w:hyperlink r:id="rId23" w:anchor="art20" w:history="1">
        <w:r w:rsidRPr="00032822">
          <w:rPr>
            <w:rFonts w:ascii="Arial" w:eastAsia="Times New Roman" w:hAnsi="Arial" w:cs="Arial"/>
            <w:color w:val="0000FF"/>
            <w:sz w:val="20"/>
            <w:szCs w:val="20"/>
            <w:u w:val="single"/>
            <w:lang w:eastAsia="pt-BR"/>
          </w:rPr>
          <w:t>20</w:t>
        </w:r>
      </w:hyperlink>
      <w:r w:rsidRPr="00032822">
        <w:rPr>
          <w:rFonts w:ascii="Arial" w:eastAsia="Times New Roman" w:hAnsi="Arial" w:cs="Arial"/>
          <w:color w:val="000000"/>
          <w:sz w:val="20"/>
          <w:szCs w:val="20"/>
          <w:lang w:eastAsia="pt-BR"/>
        </w:rPr>
        <w:t>, no que concerne aos conselhos das unidades de conservação.</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I</w:t>
      </w:r>
      <w:r w:rsidRPr="00032822">
        <w:rPr>
          <w:rFonts w:ascii="Arial" w:eastAsia="Times New Roman" w:hAnsi="Arial" w:cs="Arial"/>
          <w:color w:val="000000"/>
          <w:sz w:val="20"/>
          <w:szCs w:val="20"/>
          <w:lang w:eastAsia="pt-BR"/>
        </w:rPr>
        <w:br/>
        <w:t>DA CRIAÇÃO DE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ato de criação de uma unidade de conservação deve indicar:</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a denominação, a categoria de manejo, os objetivos, os limites, a área da unidade e o órgão responsável por sua administração;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a população tradicional beneficiária, no caso das Reservas Extrativistas e das Reservas de Desenvolvimento Sustentável;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III - a população tradicional residente, quando couber, no caso das Florestas Nacionais, Florestas Estaduais ou Florestas Municipais;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bookmarkStart w:id="0" w:name="art2iv"/>
      <w:bookmarkEnd w:id="0"/>
      <w:r w:rsidRPr="00032822">
        <w:rPr>
          <w:rFonts w:ascii="Arial" w:eastAsia="Times New Roman" w:hAnsi="Arial" w:cs="Arial"/>
          <w:color w:val="000000"/>
          <w:sz w:val="20"/>
          <w:szCs w:val="20"/>
          <w:lang w:eastAsia="pt-BR"/>
        </w:rPr>
        <w:t xml:space="preserve">IV - as atividades econômicas, de segurança e de defesa </w:t>
      </w:r>
      <w:proofErr w:type="gramStart"/>
      <w:r w:rsidRPr="00032822">
        <w:rPr>
          <w:rFonts w:ascii="Arial" w:eastAsia="Times New Roman" w:hAnsi="Arial" w:cs="Arial"/>
          <w:color w:val="000000"/>
          <w:sz w:val="20"/>
          <w:szCs w:val="20"/>
          <w:lang w:eastAsia="pt-BR"/>
        </w:rPr>
        <w:t>nacional envolvidas</w:t>
      </w:r>
      <w:proofErr w:type="gramEnd"/>
      <w:r w:rsidRPr="00032822">
        <w:rPr>
          <w:rFonts w:ascii="Arial" w:eastAsia="Times New Roman" w:hAnsi="Arial" w:cs="Arial"/>
          <w:color w:val="000000"/>
          <w:sz w:val="20"/>
          <w:szCs w:val="20"/>
          <w:lang w:eastAsia="pt-BR"/>
        </w:rPr>
        <w:t>.</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denominação de cada unidade de conservação deverá basear-se, preferencialmente, na sua característica natural mais significativa, ou na sua denominação mais antiga, dando-se prioridade, neste último caso, às designações indígenas ancestrais.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Compete ao órgão executor proponente de nova unidade de conservação elaborar os estudos técnicos preliminares e realizar, quando for o caso, a consulta pública e os demais procedimentos administrativos necessários à criação da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5</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consulta pública para a criação de unidade de conservação tem a finalidade de subsidiar a definição da localização, da dimensão e dos limites mais adequados para 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bookmarkStart w:id="1" w:name="art5§1"/>
      <w:bookmarkEnd w:id="1"/>
      <w:r w:rsidRPr="00032822">
        <w:rPr>
          <w:rFonts w:ascii="Arial" w:eastAsia="Times New Roman" w:hAnsi="Arial" w:cs="Arial"/>
          <w:color w:val="000000"/>
          <w:sz w:val="20"/>
          <w:szCs w:val="20"/>
          <w:lang w:eastAsia="pt-BR"/>
        </w:rPr>
        <w:t>§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consulta consiste em reuniões públicas ou, a critério do órgão ambiental competente, outras formas de oitiva da população local e de outras partes interessadas.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No processo de consulta pública, o órgão executor competente deve indicar, de modo claro e em linguagem acessível, as implicações para a população residente no interior e no entorno da unidade proposta.</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II</w:t>
      </w:r>
      <w:r w:rsidRPr="00032822">
        <w:rPr>
          <w:rFonts w:ascii="Arial" w:eastAsia="Times New Roman" w:hAnsi="Arial" w:cs="Arial"/>
          <w:color w:val="000000"/>
          <w:sz w:val="20"/>
          <w:szCs w:val="20"/>
          <w:lang w:eastAsia="pt-BR"/>
        </w:rPr>
        <w:br/>
        <w:t>DO SUBSOLO E DO ESPAÇO AÉREO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6</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Os limites da unidade de conservação, em relação ao subsolo, são estabelecidos: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 - no ato de sua criação, no caso de Unidade de Conservação de Proteção Integral;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no ato de sua criação ou no Plano de Manejo, no caso de Unidade de Conservação de Uso Sustentável.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7</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Os limites da unidade de conservação, em relação ao espaço aéreo, são estabelecidos no Plano de Manejo, embasados em estudos técnicos realizados pelo órgão gestor da unidade de conservação, consultada a autoridade aeronáutica competente e de acordo com a legislação vigente.</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III</w:t>
      </w:r>
      <w:r w:rsidRPr="00032822">
        <w:rPr>
          <w:rFonts w:ascii="Arial" w:eastAsia="Times New Roman" w:hAnsi="Arial" w:cs="Arial"/>
          <w:color w:val="000000"/>
          <w:sz w:val="20"/>
          <w:szCs w:val="20"/>
          <w:lang w:eastAsia="pt-BR"/>
        </w:rPr>
        <w:br/>
        <w:t>DO MOSAICO DE UNIDADES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8</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mosaico de unidades de conservação será reconhecido em ato do Ministério do Meio Ambiente, a pedido dos órgãos gestores das unidades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9</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mosaico deverá dispor de um conselho de mosaico, com caráter consultivo e a função de atuar como instância de gestão integrada das unidades de conservação que o compõem.</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composição do conselho de mosaico é estabelecida na portaria que institui o mosaico e deverá obedecer aos mesmos critérios estabelecidos no Capítulo V deste Decreto.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conselho de mosaico terá como presidente um dos chefes das unidades de conservação que o compõem, o qual será escolhido pela maioria simples de seus membros.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10.  Compete ao conselho de cada mosaico: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elaborar seu regimento interno, no prazo de noventa dias, contados da sua instituição;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 - propor diretrizes e ações para compatibilizar, integrar e </w:t>
      </w:r>
      <w:proofErr w:type="gramStart"/>
      <w:r w:rsidRPr="00032822">
        <w:rPr>
          <w:rFonts w:ascii="Arial" w:eastAsia="Times New Roman" w:hAnsi="Arial" w:cs="Arial"/>
          <w:color w:val="000000"/>
          <w:sz w:val="20"/>
          <w:szCs w:val="20"/>
          <w:lang w:eastAsia="pt-BR"/>
        </w:rPr>
        <w:t>otimizar</w:t>
      </w:r>
      <w:proofErr w:type="gramEnd"/>
      <w:r w:rsidRPr="00032822">
        <w:rPr>
          <w:rFonts w:ascii="Arial" w:eastAsia="Times New Roman" w:hAnsi="Arial" w:cs="Arial"/>
          <w:color w:val="000000"/>
          <w:sz w:val="20"/>
          <w:szCs w:val="20"/>
          <w:lang w:eastAsia="pt-BR"/>
        </w:rPr>
        <w:t>:</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w:t>
      </w:r>
      <w:proofErr w:type="gramStart"/>
      <w:r w:rsidRPr="00032822">
        <w:rPr>
          <w:rFonts w:ascii="Arial" w:eastAsia="Times New Roman" w:hAnsi="Arial" w:cs="Arial"/>
          <w:color w:val="000000"/>
          <w:sz w:val="20"/>
          <w:szCs w:val="20"/>
          <w:lang w:eastAsia="pt-BR"/>
        </w:rPr>
        <w:t>a</w:t>
      </w:r>
      <w:proofErr w:type="gramEnd"/>
      <w:r w:rsidRPr="00032822">
        <w:rPr>
          <w:rFonts w:ascii="Arial" w:eastAsia="Times New Roman" w:hAnsi="Arial" w:cs="Arial"/>
          <w:color w:val="000000"/>
          <w:sz w:val="20"/>
          <w:szCs w:val="20"/>
          <w:lang w:eastAsia="pt-BR"/>
        </w:rPr>
        <w:t>) as atividades desenvolvidas em cada unidade de conservação, tendo em vista, especialmente: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1. os usos na fronteira entre unidades;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2. o acesso às unidades;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3. a fiscalização;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4. o monitoramento e avaliação dos Planos de Manejo;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5. a pesquisa científica;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6. a alocação de recursos advindos da compensação referente ao licenciamento ambiental de empreendimentos com significativo impacto ambiental;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xml:space="preserve">        </w:t>
      </w:r>
      <w:proofErr w:type="gramStart"/>
      <w:r w:rsidRPr="00032822">
        <w:rPr>
          <w:rFonts w:ascii="Arial" w:eastAsia="Times New Roman" w:hAnsi="Arial" w:cs="Arial"/>
          <w:color w:val="000000"/>
          <w:sz w:val="20"/>
          <w:szCs w:val="20"/>
          <w:lang w:eastAsia="pt-BR"/>
        </w:rPr>
        <w:t>b)</w:t>
      </w:r>
      <w:proofErr w:type="gramEnd"/>
      <w:r w:rsidRPr="00032822">
        <w:rPr>
          <w:rFonts w:ascii="Arial" w:eastAsia="Times New Roman" w:hAnsi="Arial" w:cs="Arial"/>
          <w:color w:val="000000"/>
          <w:sz w:val="20"/>
          <w:szCs w:val="20"/>
          <w:lang w:eastAsia="pt-BR"/>
        </w:rPr>
        <w:t> a relação com a população residente na área do mosaico;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III - manifestar-se sobre propostas de solução para a sobreposição de unidades;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IV - manifestar-se, quando provocado por órgão executor, por conselho de unidade de conservação ou por outro órgão do Sistema Nacional do Meio Ambiente - SISNAMA, sobre assunto de interesse para a gestão do mosaico.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11.  Os corredores ecológicos, reconhecidos em ato do Ministério do Meio Ambiente, integram os mosaicos para fins de sua gestão.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Na ausência de mosaico, o corredor ecológico que interliga unidades de conservação terá o mesmo tratamento da sua zona de amortecimento.</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IV</w:t>
      </w:r>
      <w:r w:rsidRPr="00032822">
        <w:rPr>
          <w:rFonts w:ascii="Arial" w:eastAsia="Times New Roman" w:hAnsi="Arial" w:cs="Arial"/>
          <w:color w:val="000000"/>
          <w:sz w:val="20"/>
          <w:szCs w:val="20"/>
          <w:lang w:eastAsia="pt-BR"/>
        </w:rPr>
        <w:br/>
        <w:t>DO PLANO DE MANEJO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bookmarkStart w:id="2" w:name="art12"/>
      <w:bookmarkEnd w:id="2"/>
      <w:r w:rsidRPr="00032822">
        <w:rPr>
          <w:rFonts w:ascii="Arial" w:eastAsia="Times New Roman" w:hAnsi="Arial" w:cs="Arial"/>
          <w:color w:val="000000"/>
          <w:sz w:val="20"/>
          <w:szCs w:val="20"/>
          <w:lang w:eastAsia="pt-BR"/>
        </w:rPr>
        <w:t>Art. 12.  O Plano de Manejo da unidade de conservação, elaborado pelo órgão gestor ou pelo proprietário quando for o caso, será aprovado: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em portaria do órgão executor, no caso de Estação Ecológica, Reserva Biológica, Parque Nacional, Monumento Natural, Refúgio de Vida Silvestre, Área de Proteção Ambiental, Área de Relevante Interesse Ecológico, Floresta Nacional, Reserva de Fauna e Reserva Particular do Patrimônio Natural;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em resolução do conselho deliberativo, no caso de Reserva Extrativista e Reserva de Desenvolvimento Sustentável, após prévia aprovação do órgão executor.</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13.  O contrato de concessão de direito real de uso e o termo de </w:t>
      </w:r>
      <w:proofErr w:type="gramStart"/>
      <w:r w:rsidRPr="00032822">
        <w:rPr>
          <w:rFonts w:ascii="Arial" w:eastAsia="Times New Roman" w:hAnsi="Arial" w:cs="Arial"/>
          <w:color w:val="000000"/>
          <w:sz w:val="20"/>
          <w:szCs w:val="20"/>
          <w:lang w:eastAsia="pt-BR"/>
        </w:rPr>
        <w:t>compromisso firmados com populações tradicionais das Reservas Extrativistas</w:t>
      </w:r>
      <w:proofErr w:type="gramEnd"/>
      <w:r w:rsidRPr="00032822">
        <w:rPr>
          <w:rFonts w:ascii="Arial" w:eastAsia="Times New Roman" w:hAnsi="Arial" w:cs="Arial"/>
          <w:color w:val="000000"/>
          <w:sz w:val="20"/>
          <w:szCs w:val="20"/>
          <w:lang w:eastAsia="pt-BR"/>
        </w:rPr>
        <w:t xml:space="preserve"> e Reservas de Uso Sustentável devem estar de acordo com o Plano de Manejo, devendo ser revistos, se necessário.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14.  Os órgãos executores do Sistema Nacional de Unidades de Conservação da Natureza - SNUC, em suas respectivas esferas de atuação, devem estabelecer, no prazo de cento e oitenta dias, a partir da publicação deste Decreto, roteiro metodológico básico para a elaboração dos Planos de Manejo das diferentes categorias de unidades de conservação, uniformizando conceitos e metodologias, fixando diretrizes para o diagnóstico da unidade, zoneamento, programas de manejo, prazos de avaliação e de revisão e fases de </w:t>
      </w:r>
      <w:proofErr w:type="gramStart"/>
      <w:r w:rsidRPr="00032822">
        <w:rPr>
          <w:rFonts w:ascii="Arial" w:eastAsia="Times New Roman" w:hAnsi="Arial" w:cs="Arial"/>
          <w:color w:val="000000"/>
          <w:sz w:val="20"/>
          <w:szCs w:val="20"/>
          <w:lang w:eastAsia="pt-BR"/>
        </w:rPr>
        <w:t>implementação</w:t>
      </w:r>
      <w:proofErr w:type="gramEnd"/>
      <w:r w:rsidRPr="00032822">
        <w:rPr>
          <w:rFonts w:ascii="Arial" w:eastAsia="Times New Roman" w:hAnsi="Arial" w:cs="Arial"/>
          <w:color w:val="000000"/>
          <w:sz w:val="20"/>
          <w:szCs w:val="20"/>
          <w:lang w:eastAsia="pt-BR"/>
        </w:rPr>
        <w:t>.</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15.  A partir da criação de cada unidade de conservação e até que seja estabelecido o Plano de Manejo, devem ser formalizadas e </w:t>
      </w:r>
      <w:proofErr w:type="gramStart"/>
      <w:r w:rsidRPr="00032822">
        <w:rPr>
          <w:rFonts w:ascii="Arial" w:eastAsia="Times New Roman" w:hAnsi="Arial" w:cs="Arial"/>
          <w:color w:val="000000"/>
          <w:sz w:val="20"/>
          <w:szCs w:val="20"/>
          <w:lang w:eastAsia="pt-BR"/>
        </w:rPr>
        <w:t>implementadas</w:t>
      </w:r>
      <w:proofErr w:type="gramEnd"/>
      <w:r w:rsidRPr="00032822">
        <w:rPr>
          <w:rFonts w:ascii="Arial" w:eastAsia="Times New Roman" w:hAnsi="Arial" w:cs="Arial"/>
          <w:color w:val="000000"/>
          <w:sz w:val="20"/>
          <w:szCs w:val="20"/>
          <w:lang w:eastAsia="pt-BR"/>
        </w:rPr>
        <w:t xml:space="preserve"> ações de proteção e fiscalização.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16.  O Plano de Manejo aprovado deve estar disponível para consulta do público na sede da unidade de conservação e no centro de documentação do órgão executor.</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V</w:t>
      </w:r>
      <w:r w:rsidRPr="00032822">
        <w:rPr>
          <w:rFonts w:ascii="Arial" w:eastAsia="Times New Roman" w:hAnsi="Arial" w:cs="Arial"/>
          <w:color w:val="000000"/>
          <w:sz w:val="20"/>
          <w:szCs w:val="20"/>
          <w:lang w:eastAsia="pt-BR"/>
        </w:rPr>
        <w:br/>
        <w:t>DO CONSELHO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17.  As categorias de unidade de conservação poderão ter, conforme a </w:t>
      </w:r>
      <w:hyperlink r:id="rId24" w:history="1">
        <w:r w:rsidRPr="00032822">
          <w:rPr>
            <w:rFonts w:ascii="Arial" w:eastAsia="Times New Roman" w:hAnsi="Arial" w:cs="Arial"/>
            <w:color w:val="0000FF"/>
            <w:sz w:val="20"/>
            <w:szCs w:val="20"/>
            <w:u w:val="single"/>
            <w:lang w:eastAsia="pt-BR"/>
          </w:rPr>
          <w:t>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9.985, de 2000</w:t>
        </w:r>
      </w:hyperlink>
      <w:r w:rsidRPr="00032822">
        <w:rPr>
          <w:rFonts w:ascii="Arial" w:eastAsia="Times New Roman" w:hAnsi="Arial" w:cs="Arial"/>
          <w:color w:val="000000"/>
          <w:sz w:val="20"/>
          <w:szCs w:val="20"/>
          <w:lang w:eastAsia="pt-BR"/>
        </w:rPr>
        <w:t>, conselho consultivo ou deliberativo, que serão presididos pelo chefe da unidade de conservação, o qual designará os demais conselheiros indicados pelos setores a serem representados.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xml:space="preserve">  A representação dos órgãos públicos deve contemplar, quando couber, os órgãos ambientais dos três níveis da Federação e órgãos de áreas afins, tais como pesquisa científica, </w:t>
      </w:r>
      <w:r w:rsidRPr="00032822">
        <w:rPr>
          <w:rFonts w:ascii="Arial" w:eastAsia="Times New Roman" w:hAnsi="Arial" w:cs="Arial"/>
          <w:color w:val="000000"/>
          <w:sz w:val="20"/>
          <w:szCs w:val="20"/>
          <w:lang w:eastAsia="pt-BR"/>
        </w:rPr>
        <w:lastRenderedPageBreak/>
        <w:t>educação, defesa nacional, cultura, turismo, paisagem, arquitetura, arqueologia e povos indígenas e assentamentos agrícolas.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xml:space="preserve">  A representação da sociedade civil deve contemplar, quando couber, a comunidade científica e organizações     </w:t>
      </w:r>
      <w:proofErr w:type="gramStart"/>
      <w:r w:rsidRPr="00032822">
        <w:rPr>
          <w:rFonts w:ascii="Arial" w:eastAsia="Times New Roman" w:hAnsi="Arial" w:cs="Arial"/>
          <w:color w:val="000000"/>
          <w:sz w:val="20"/>
          <w:szCs w:val="20"/>
          <w:lang w:eastAsia="pt-BR"/>
        </w:rPr>
        <w:t>não-governamentais</w:t>
      </w:r>
      <w:proofErr w:type="gramEnd"/>
      <w:r w:rsidRPr="00032822">
        <w:rPr>
          <w:rFonts w:ascii="Arial" w:eastAsia="Times New Roman" w:hAnsi="Arial" w:cs="Arial"/>
          <w:color w:val="000000"/>
          <w:sz w:val="20"/>
          <w:szCs w:val="20"/>
          <w:lang w:eastAsia="pt-BR"/>
        </w:rPr>
        <w:t xml:space="preserve"> ambientalistas com atuação comprovada na região da unidade, população residente e do entorno, população tradicional, proprietários de imóveis no interior da unidade, trabalhadores e setor privado atuantes na região e representantes dos Comitês de Bacia Hidrográfica.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3</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representação dos órgãos públicos e da sociedade civil nos conselhos deve ser, sempre que possível, paritária, considerando as peculiaridades regionais.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4</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A Organização da Sociedade Civil de Interesse Público - OSCIP com representação no conselho de unidade de conservação não pode se candidatar à gestão de que trata o Capítulo VI deste Decreto.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5</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mandato do conselheiro é de dois anos, renovável por igual período, não remunerado e considerado atividade de relevante interesse público.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6</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No caso de unidade de conservação municipal, o Conselho Municipal de Defesa do Meio Ambiente, ou órgão equivalente, cuja composição obedeça ao disposto neste artigo, e com competências que incluam aquelas especificadas no art. 20 deste Decreto, pode ser designado como conselho da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18.  A reunião do conselho da unidade de conservação deve ser pública, com pauta preestabelecida no ato da convocação e realizada em local de fácil acesso.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19. Compete ao órgão executor:</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convocar o conselho com antecedência mínima de sete dias;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prestar apoio à participação dos conselheiros nas reuniões, sempre que solicitado e devidamente justificado.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O apoio do órgão executor indicado no inciso II não restringe aquele que possa ser prestado por outras organizações.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20.  Compete ao conselho de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elaborar o seu regimento interno, no prazo de noventa dias, contados da sua instalação;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 - acompanhar a elaboração, </w:t>
      </w:r>
      <w:proofErr w:type="gramStart"/>
      <w:r w:rsidRPr="00032822">
        <w:rPr>
          <w:rFonts w:ascii="Arial" w:eastAsia="Times New Roman" w:hAnsi="Arial" w:cs="Arial"/>
          <w:color w:val="000000"/>
          <w:sz w:val="20"/>
          <w:szCs w:val="20"/>
          <w:lang w:eastAsia="pt-BR"/>
        </w:rPr>
        <w:t>implementação</w:t>
      </w:r>
      <w:proofErr w:type="gramEnd"/>
      <w:r w:rsidRPr="00032822">
        <w:rPr>
          <w:rFonts w:ascii="Arial" w:eastAsia="Times New Roman" w:hAnsi="Arial" w:cs="Arial"/>
          <w:color w:val="000000"/>
          <w:sz w:val="20"/>
          <w:szCs w:val="20"/>
          <w:lang w:eastAsia="pt-BR"/>
        </w:rPr>
        <w:t xml:space="preserve"> e revisão do Plano de Manejo da unidade de conservação, quando couber, garantindo o seu caráter participativo;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III - buscar a integração da unidade de conservação com as demais unidades e espaços territoriais especialmente protegidos e com o seu entorno;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IV - esforçar-se para compatibilizar os interesses dos diversos segmentos sociais relacionados com 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V - avaliar o orçamento da unidade e o relatório financeiro anual elaborado pelo órgão executor em relação aos objetivos da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VI - opinar, no caso de conselho consultivo, ou ratificar, no caso de conselho deliberativo, a contratação e os dispositivos do termo de parceria com OSCIP, na hipótese de gestão compartilhada da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VII - acompanhar a gestão por OSCIP e recomendar a rescisão do termo de parceria, quando constatada irregularidade;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VIII - manifestar-se sobre obra ou atividade potencialmente causadora de impacto na unidade de conservação, em sua zona de amortecimento, mosaicos ou corredores ecológicos;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IX - propor diretrizes e ações para compatibilizar, integrar e </w:t>
      </w:r>
      <w:proofErr w:type="gramStart"/>
      <w:r w:rsidRPr="00032822">
        <w:rPr>
          <w:rFonts w:ascii="Arial" w:eastAsia="Times New Roman" w:hAnsi="Arial" w:cs="Arial"/>
          <w:color w:val="000000"/>
          <w:sz w:val="20"/>
          <w:szCs w:val="20"/>
          <w:lang w:eastAsia="pt-BR"/>
        </w:rPr>
        <w:t>otimizar</w:t>
      </w:r>
      <w:proofErr w:type="gramEnd"/>
      <w:r w:rsidRPr="00032822">
        <w:rPr>
          <w:rFonts w:ascii="Arial" w:eastAsia="Times New Roman" w:hAnsi="Arial" w:cs="Arial"/>
          <w:color w:val="000000"/>
          <w:sz w:val="20"/>
          <w:szCs w:val="20"/>
          <w:lang w:eastAsia="pt-BR"/>
        </w:rPr>
        <w:t xml:space="preserve"> a relação com a população do entorno ou do interior da unidade, conforme o caso.</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gramStart"/>
      <w:r w:rsidRPr="00032822">
        <w:rPr>
          <w:rFonts w:ascii="Arial" w:eastAsia="Times New Roman" w:hAnsi="Arial" w:cs="Arial"/>
          <w:color w:val="000000"/>
          <w:sz w:val="20"/>
          <w:szCs w:val="20"/>
          <w:lang w:eastAsia="pt-BR"/>
        </w:rPr>
        <w:t>CAPÍTULO VI</w:t>
      </w:r>
      <w:proofErr w:type="gramEnd"/>
      <w:r w:rsidRPr="00032822">
        <w:rPr>
          <w:rFonts w:ascii="Arial" w:eastAsia="Times New Roman" w:hAnsi="Arial" w:cs="Arial"/>
          <w:color w:val="000000"/>
          <w:sz w:val="20"/>
          <w:szCs w:val="20"/>
          <w:lang w:eastAsia="pt-BR"/>
        </w:rPr>
        <w:br/>
        <w:t>DA GESTÃO COMPARTILHADA COM OSCIP</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21.  A gestão compartilhada de unidade de conservação por OSCIP é regulada por termo de parceria firmado com o órgão executor, nos termos da </w:t>
      </w:r>
      <w:hyperlink r:id="rId25" w:history="1">
        <w:r w:rsidRPr="00032822">
          <w:rPr>
            <w:rFonts w:ascii="Arial" w:eastAsia="Times New Roman" w:hAnsi="Arial" w:cs="Arial"/>
            <w:color w:val="0000FF"/>
            <w:sz w:val="20"/>
            <w:szCs w:val="20"/>
            <w:u w:val="single"/>
            <w:lang w:eastAsia="pt-BR"/>
          </w:rPr>
          <w:t>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9.790, de 23 de março de </w:t>
        </w:r>
        <w:proofErr w:type="gramStart"/>
        <w:r w:rsidRPr="00032822">
          <w:rPr>
            <w:rFonts w:ascii="Arial" w:eastAsia="Times New Roman" w:hAnsi="Arial" w:cs="Arial"/>
            <w:color w:val="0000FF"/>
            <w:sz w:val="20"/>
            <w:szCs w:val="20"/>
            <w:u w:val="single"/>
            <w:lang w:eastAsia="pt-BR"/>
          </w:rPr>
          <w:t>1999.</w:t>
        </w:r>
        <w:proofErr w:type="gramEnd"/>
      </w:hyperlink>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22.  Poderá gerir unidade de conservação a OSCIP que preencha os seguintes requisitos: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 - tenha dentre seus objetivos institucionais a proteção do meio ambiente ou a promoção do desenvolvimento sustentável;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comprove a realização de atividades de proteção do meio ambiente ou desenvolvimento sustentável, preferencialmente na unidade de conservação ou no mesmo bioma.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23.  O edital para seleção de OSCIP, visando a gestão compartilhada, deve ser publicado com no mínimo sessenta dias de antecedência, em jornal de grande circulação na região da unidade de conservação e no Diário Oficial, nos termos da </w:t>
      </w:r>
      <w:hyperlink r:id="rId26" w:history="1">
        <w:r w:rsidRPr="00032822">
          <w:rPr>
            <w:rFonts w:ascii="Arial" w:eastAsia="Times New Roman" w:hAnsi="Arial" w:cs="Arial"/>
            <w:color w:val="0000FF"/>
            <w:sz w:val="20"/>
            <w:szCs w:val="20"/>
            <w:u w:val="single"/>
            <w:lang w:eastAsia="pt-BR"/>
          </w:rPr>
          <w:t>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8.666, de 21 de junho de </w:t>
        </w:r>
        <w:proofErr w:type="gramStart"/>
        <w:r w:rsidRPr="00032822">
          <w:rPr>
            <w:rFonts w:ascii="Arial" w:eastAsia="Times New Roman" w:hAnsi="Arial" w:cs="Arial"/>
            <w:color w:val="0000FF"/>
            <w:sz w:val="20"/>
            <w:szCs w:val="20"/>
            <w:u w:val="single"/>
            <w:lang w:eastAsia="pt-BR"/>
          </w:rPr>
          <w:t>1993.</w:t>
        </w:r>
        <w:proofErr w:type="gramEnd"/>
      </w:hyperlink>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Os termos de referência para a apresentação de proposta pelas OSCIP serão definidos pelo órgão executor, ouvido o conselho da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24.  A OSCIP deve encaminhar anualmente relatórios de suas atividades para apreciação do órgão executor e do conselho da unidade.</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VII</w:t>
      </w:r>
      <w:r w:rsidRPr="00032822">
        <w:rPr>
          <w:rFonts w:ascii="Arial" w:eastAsia="Times New Roman" w:hAnsi="Arial" w:cs="Arial"/>
          <w:color w:val="000000"/>
          <w:sz w:val="20"/>
          <w:szCs w:val="20"/>
          <w:lang w:eastAsia="pt-BR"/>
        </w:rPr>
        <w:br/>
        <w:t>DA AUTORIZAÇÃO PARA A EXPLORAÇÃO DE BENS E SERVIÇOS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25.  É passível de autorização a exploração de produtos, </w:t>
      </w:r>
      <w:proofErr w:type="spellStart"/>
      <w:proofErr w:type="gramStart"/>
      <w:r w:rsidRPr="00032822">
        <w:rPr>
          <w:rFonts w:ascii="Arial" w:eastAsia="Times New Roman" w:hAnsi="Arial" w:cs="Arial"/>
          <w:color w:val="000000"/>
          <w:sz w:val="20"/>
          <w:szCs w:val="20"/>
          <w:lang w:eastAsia="pt-BR"/>
        </w:rPr>
        <w:t>sub-produtos</w:t>
      </w:r>
      <w:proofErr w:type="spellEnd"/>
      <w:proofErr w:type="gramEnd"/>
      <w:r w:rsidRPr="00032822">
        <w:rPr>
          <w:rFonts w:ascii="Arial" w:eastAsia="Times New Roman" w:hAnsi="Arial" w:cs="Arial"/>
          <w:color w:val="000000"/>
          <w:sz w:val="20"/>
          <w:szCs w:val="20"/>
          <w:lang w:eastAsia="pt-BR"/>
        </w:rPr>
        <w:t xml:space="preserve"> ou serviços inerentes às unidades de conservação, de acordo com os objetivos de cada categoria de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Parágrafo único.  Para os fins deste Decreto, entende-se por produtos, </w:t>
      </w:r>
      <w:proofErr w:type="spellStart"/>
      <w:proofErr w:type="gramStart"/>
      <w:r w:rsidRPr="00032822">
        <w:rPr>
          <w:rFonts w:ascii="Arial" w:eastAsia="Times New Roman" w:hAnsi="Arial" w:cs="Arial"/>
          <w:color w:val="000000"/>
          <w:sz w:val="20"/>
          <w:szCs w:val="20"/>
          <w:lang w:eastAsia="pt-BR"/>
        </w:rPr>
        <w:t>sub-produtos</w:t>
      </w:r>
      <w:proofErr w:type="spellEnd"/>
      <w:proofErr w:type="gramEnd"/>
      <w:r w:rsidRPr="00032822">
        <w:rPr>
          <w:rFonts w:ascii="Arial" w:eastAsia="Times New Roman" w:hAnsi="Arial" w:cs="Arial"/>
          <w:color w:val="000000"/>
          <w:sz w:val="20"/>
          <w:szCs w:val="20"/>
          <w:lang w:eastAsia="pt-BR"/>
        </w:rPr>
        <w:t xml:space="preserve"> ou serviços inerentes à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 - aqueles destinados a dar suporte físico e logístico à sua administração e à </w:t>
      </w:r>
      <w:proofErr w:type="gramStart"/>
      <w:r w:rsidRPr="00032822">
        <w:rPr>
          <w:rFonts w:ascii="Arial" w:eastAsia="Times New Roman" w:hAnsi="Arial" w:cs="Arial"/>
          <w:color w:val="000000"/>
          <w:sz w:val="20"/>
          <w:szCs w:val="20"/>
          <w:lang w:eastAsia="pt-BR"/>
        </w:rPr>
        <w:t>implementação</w:t>
      </w:r>
      <w:proofErr w:type="gramEnd"/>
      <w:r w:rsidRPr="00032822">
        <w:rPr>
          <w:rFonts w:ascii="Arial" w:eastAsia="Times New Roman" w:hAnsi="Arial" w:cs="Arial"/>
          <w:color w:val="000000"/>
          <w:sz w:val="20"/>
          <w:szCs w:val="20"/>
          <w:lang w:eastAsia="pt-BR"/>
        </w:rPr>
        <w:t xml:space="preserve"> das atividades de uso comum do público, tais como visitação, recreação e turismo;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a exploração de recursos florestais e outros recursos naturais em Unidades de Conservação de Uso Sustentável, nos limites estabelecidos em lei.</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26.  A partir da publicação deste Decreto, novas autorizações para a exploração comercial de produtos, </w:t>
      </w:r>
      <w:proofErr w:type="spellStart"/>
      <w:proofErr w:type="gramStart"/>
      <w:r w:rsidRPr="00032822">
        <w:rPr>
          <w:rFonts w:ascii="Arial" w:eastAsia="Times New Roman" w:hAnsi="Arial" w:cs="Arial"/>
          <w:color w:val="000000"/>
          <w:sz w:val="20"/>
          <w:szCs w:val="20"/>
          <w:lang w:eastAsia="pt-BR"/>
        </w:rPr>
        <w:t>sub-produtos</w:t>
      </w:r>
      <w:proofErr w:type="spellEnd"/>
      <w:proofErr w:type="gramEnd"/>
      <w:r w:rsidRPr="00032822">
        <w:rPr>
          <w:rFonts w:ascii="Arial" w:eastAsia="Times New Roman" w:hAnsi="Arial" w:cs="Arial"/>
          <w:color w:val="000000"/>
          <w:sz w:val="20"/>
          <w:szCs w:val="20"/>
          <w:lang w:eastAsia="pt-BR"/>
        </w:rPr>
        <w:t xml:space="preserve"> ou serviços em unidade de conservação de domínio </w:t>
      </w:r>
      <w:r w:rsidRPr="00032822">
        <w:rPr>
          <w:rFonts w:ascii="Arial" w:eastAsia="Times New Roman" w:hAnsi="Arial" w:cs="Arial"/>
          <w:color w:val="000000"/>
          <w:sz w:val="20"/>
          <w:szCs w:val="20"/>
          <w:lang w:eastAsia="pt-BR"/>
        </w:rPr>
        <w:lastRenderedPageBreak/>
        <w:t>público só serão permitidas se previstas no Plano de Manejo, mediante decisão do órgão executor, ouvido o conselho da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27.  O uso de imagens de unidade de conservação com finalidade comercial será cobrado conforme estabelecido em ato administrativo pelo órgão executor.</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Quando a finalidade do uso de imagem da unidade de conservação for preponderantemente científica, educativa ou cultural, o uso será gratuito.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28.  No processo de autorização da exploração comercial de produtos, </w:t>
      </w:r>
      <w:proofErr w:type="spellStart"/>
      <w:proofErr w:type="gramStart"/>
      <w:r w:rsidRPr="00032822">
        <w:rPr>
          <w:rFonts w:ascii="Arial" w:eastAsia="Times New Roman" w:hAnsi="Arial" w:cs="Arial"/>
          <w:color w:val="000000"/>
          <w:sz w:val="20"/>
          <w:szCs w:val="20"/>
          <w:lang w:eastAsia="pt-BR"/>
        </w:rPr>
        <w:t>sub-produtos</w:t>
      </w:r>
      <w:proofErr w:type="spellEnd"/>
      <w:proofErr w:type="gramEnd"/>
      <w:r w:rsidRPr="00032822">
        <w:rPr>
          <w:rFonts w:ascii="Arial" w:eastAsia="Times New Roman" w:hAnsi="Arial" w:cs="Arial"/>
          <w:color w:val="000000"/>
          <w:sz w:val="20"/>
          <w:szCs w:val="20"/>
          <w:lang w:eastAsia="pt-BR"/>
        </w:rPr>
        <w:t xml:space="preserve"> ou serviços de unidade de conservação, o órgão executor deve viabilizar a participação de pessoas físicas ou jurídicas, observando-se os limites estabelecidos pela legislação vigente sobre licitações públicas e demais normas em vigor.</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29.  A autorização para exploração comercial de produto, </w:t>
      </w:r>
      <w:proofErr w:type="spellStart"/>
      <w:proofErr w:type="gramStart"/>
      <w:r w:rsidRPr="00032822">
        <w:rPr>
          <w:rFonts w:ascii="Arial" w:eastAsia="Times New Roman" w:hAnsi="Arial" w:cs="Arial"/>
          <w:color w:val="000000"/>
          <w:sz w:val="20"/>
          <w:szCs w:val="20"/>
          <w:lang w:eastAsia="pt-BR"/>
        </w:rPr>
        <w:t>sub-produto</w:t>
      </w:r>
      <w:proofErr w:type="spellEnd"/>
      <w:proofErr w:type="gramEnd"/>
      <w:r w:rsidRPr="00032822">
        <w:rPr>
          <w:rFonts w:ascii="Arial" w:eastAsia="Times New Roman" w:hAnsi="Arial" w:cs="Arial"/>
          <w:color w:val="000000"/>
          <w:sz w:val="20"/>
          <w:szCs w:val="20"/>
          <w:lang w:eastAsia="pt-BR"/>
        </w:rPr>
        <w:t xml:space="preserve"> ou serviço de unidade de conservação deve estar fundamentada em estudos de viabilidade econômica e investimentos elaborados pelo órgão executor, ouvido o conselho da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30.  Fica proibida a construção e ampliação de benfeitoria sem autorização do órgão gestor da unidade de conservação.</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VIII</w:t>
      </w:r>
      <w:r w:rsidRPr="00032822">
        <w:rPr>
          <w:rFonts w:ascii="Arial" w:eastAsia="Times New Roman" w:hAnsi="Arial" w:cs="Arial"/>
          <w:color w:val="000000"/>
          <w:sz w:val="20"/>
          <w:szCs w:val="20"/>
          <w:lang w:eastAsia="pt-BR"/>
        </w:rPr>
        <w:br/>
        <w:t>DA COMPENSAÇÃO POR SIGNIFICATIVO IMPACTO AMBIENTAL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r w:rsidRPr="00032822">
        <w:rPr>
          <w:rFonts w:ascii="Arial" w:eastAsia="Times New Roman" w:hAnsi="Arial" w:cs="Arial"/>
          <w:strike/>
          <w:color w:val="000000"/>
          <w:sz w:val="20"/>
          <w:szCs w:val="20"/>
          <w:lang w:eastAsia="pt-BR"/>
        </w:rPr>
        <w:t>Art. 31.  Para os fins de fixação da compensação ambiental de que trata o </w:t>
      </w:r>
      <w:hyperlink r:id="rId27" w:anchor="art36" w:history="1">
        <w:r w:rsidRPr="00032822">
          <w:rPr>
            <w:rFonts w:ascii="Arial" w:eastAsia="Times New Roman" w:hAnsi="Arial" w:cs="Arial"/>
            <w:strike/>
            <w:color w:val="0000FF"/>
            <w:sz w:val="20"/>
            <w:szCs w:val="20"/>
            <w:u w:val="single"/>
            <w:lang w:eastAsia="pt-BR"/>
          </w:rPr>
          <w:t>art. 36 da Lei n</w:t>
        </w:r>
        <w:r w:rsidRPr="00032822">
          <w:rPr>
            <w:rFonts w:ascii="Arial" w:eastAsia="Times New Roman" w:hAnsi="Arial" w:cs="Arial"/>
            <w:strike/>
            <w:color w:val="0000FF"/>
            <w:sz w:val="20"/>
            <w:szCs w:val="20"/>
            <w:u w:val="single"/>
            <w:vertAlign w:val="superscript"/>
            <w:lang w:eastAsia="pt-BR"/>
          </w:rPr>
          <w:t>o</w:t>
        </w:r>
        <w:r w:rsidRPr="00032822">
          <w:rPr>
            <w:rFonts w:ascii="Arial" w:eastAsia="Times New Roman" w:hAnsi="Arial" w:cs="Arial"/>
            <w:strike/>
            <w:color w:val="0000FF"/>
            <w:sz w:val="20"/>
            <w:szCs w:val="20"/>
            <w:u w:val="single"/>
            <w:lang w:eastAsia="pt-BR"/>
          </w:rPr>
          <w:t> 9.985, de 2000</w:t>
        </w:r>
      </w:hyperlink>
      <w:r w:rsidRPr="00032822">
        <w:rPr>
          <w:rFonts w:ascii="Arial" w:eastAsia="Times New Roman" w:hAnsi="Arial" w:cs="Arial"/>
          <w:strike/>
          <w:color w:val="000000"/>
          <w:sz w:val="20"/>
          <w:szCs w:val="20"/>
          <w:lang w:eastAsia="pt-BR"/>
        </w:rPr>
        <w:t>, o órgão ambiental licenciador estabelecerá o grau de impacto a partir dos estudos ambientais realizados quando do processo de licenciamento ambiental, sendo considerados os impactos negativos, não mitigáveis e passíveis de riscos que possam comprometer a qualidade de vida de uma região ou causar danos aos recursos naturais.</w:t>
      </w:r>
      <w:r w:rsidRPr="00032822">
        <w:rPr>
          <w:rFonts w:ascii="Arial" w:eastAsia="Times New Roman" w:hAnsi="Arial" w:cs="Arial"/>
          <w:strike/>
          <w:color w:val="000000"/>
          <w:sz w:val="20"/>
          <w:szCs w:val="20"/>
          <w:lang w:eastAsia="pt-BR"/>
        </w:rPr>
        <w:br/>
      </w:r>
      <w:r w:rsidRPr="00032822">
        <w:rPr>
          <w:rFonts w:ascii="Arial" w:eastAsia="Times New Roman" w:hAnsi="Arial" w:cs="Arial"/>
          <w:color w:val="000000"/>
          <w:sz w:val="20"/>
          <w:szCs w:val="20"/>
          <w:lang w:eastAsia="pt-BR"/>
        </w:rPr>
        <w:t>        </w:t>
      </w:r>
      <w:bookmarkStart w:id="3" w:name="art31"/>
      <w:bookmarkEnd w:id="3"/>
      <w:r w:rsidRPr="00032822">
        <w:rPr>
          <w:rFonts w:ascii="Arial" w:eastAsia="Times New Roman" w:hAnsi="Arial" w:cs="Arial"/>
          <w:strike/>
          <w:color w:val="000000"/>
          <w:sz w:val="20"/>
          <w:szCs w:val="20"/>
          <w:lang w:eastAsia="pt-BR"/>
        </w:rPr>
        <w:t>Art. 31.  Para os fins de fixação da compensação ambiental de que trata o </w:t>
      </w:r>
      <w:hyperlink r:id="rId28" w:anchor="art36" w:history="1">
        <w:r w:rsidRPr="00032822">
          <w:rPr>
            <w:rFonts w:ascii="Arial" w:eastAsia="Times New Roman" w:hAnsi="Arial" w:cs="Arial"/>
            <w:strike/>
            <w:color w:val="0000FF"/>
            <w:sz w:val="20"/>
            <w:szCs w:val="20"/>
            <w:u w:val="single"/>
            <w:lang w:eastAsia="pt-BR"/>
          </w:rPr>
          <w:t>art. 36 da Lei n</w:t>
        </w:r>
        <w:r w:rsidRPr="00032822">
          <w:rPr>
            <w:rFonts w:ascii="Arial" w:eastAsia="Times New Roman" w:hAnsi="Arial" w:cs="Arial"/>
            <w:strike/>
            <w:color w:val="0000FF"/>
            <w:sz w:val="20"/>
            <w:szCs w:val="20"/>
            <w:u w:val="single"/>
            <w:vertAlign w:val="superscript"/>
            <w:lang w:eastAsia="pt-BR"/>
          </w:rPr>
          <w:t>o</w:t>
        </w:r>
        <w:r w:rsidRPr="00032822">
          <w:rPr>
            <w:rFonts w:ascii="Arial" w:eastAsia="Times New Roman" w:hAnsi="Arial" w:cs="Arial"/>
            <w:strike/>
            <w:color w:val="0000FF"/>
            <w:sz w:val="20"/>
            <w:szCs w:val="20"/>
            <w:u w:val="single"/>
            <w:lang w:eastAsia="pt-BR"/>
          </w:rPr>
          <w:t> 9.985, de 2000</w:t>
        </w:r>
      </w:hyperlink>
      <w:r w:rsidRPr="00032822">
        <w:rPr>
          <w:rFonts w:ascii="Arial" w:eastAsia="Times New Roman" w:hAnsi="Arial" w:cs="Arial"/>
          <w:strike/>
          <w:color w:val="000000"/>
          <w:sz w:val="20"/>
          <w:szCs w:val="20"/>
          <w:lang w:eastAsia="pt-BR"/>
        </w:rPr>
        <w:t>, o órgão ambiental licenciador estabelecerá o grau de impacto a partir de estudo prévio de impacto ambiental e respectivo relatório - EIA/RIMA realizados quando do processo de licenciamento ambiental, sendo considerados os impactos negativos e não mitigáveis aos recursos ambientais. </w:t>
      </w:r>
      <w:hyperlink r:id="rId29" w:anchor="art1" w:history="1">
        <w:r w:rsidRPr="00032822">
          <w:rPr>
            <w:rFonts w:ascii="Arial" w:eastAsia="Times New Roman" w:hAnsi="Arial" w:cs="Arial"/>
            <w:strike/>
            <w:color w:val="0000FF"/>
            <w:sz w:val="20"/>
            <w:szCs w:val="20"/>
            <w:u w:val="single"/>
            <w:lang w:eastAsia="pt-BR"/>
          </w:rPr>
          <w:t>(Redação dada pelo Decreto nº 5.566, de 2005)</w:t>
        </w:r>
      </w:hyperlink>
      <w:r w:rsidRPr="00032822">
        <w:rPr>
          <w:rFonts w:ascii="Times New Roman" w:eastAsia="Times New Roman" w:hAnsi="Times New Roman" w:cs="Times New Roman"/>
          <w:color w:val="000000"/>
          <w:sz w:val="27"/>
          <w:szCs w:val="27"/>
          <w:lang w:eastAsia="pt-BR"/>
        </w:rPr>
        <w:br/>
      </w:r>
      <w:r w:rsidRPr="00032822">
        <w:rPr>
          <w:rFonts w:ascii="Arial" w:eastAsia="Times New Roman" w:hAnsi="Arial" w:cs="Arial"/>
          <w:strike/>
          <w:color w:val="000000"/>
          <w:sz w:val="20"/>
          <w:szCs w:val="20"/>
          <w:lang w:eastAsia="pt-BR"/>
        </w:rPr>
        <w:t>        Parágrafo único.  Os percentuais serão fixados, gradualmente, a partir de meio por cento dos custos totais previstos para a implantação do empreendimento, considerando-se a amplitude dos impactos gerados, conforme estabelecido no </w:t>
      </w:r>
      <w:r w:rsidRPr="00032822">
        <w:rPr>
          <w:rFonts w:ascii="Arial" w:eastAsia="Times New Roman" w:hAnsi="Arial" w:cs="Arial"/>
          <w:b/>
          <w:bCs/>
          <w:strike/>
          <w:color w:val="000000"/>
          <w:sz w:val="20"/>
          <w:szCs w:val="20"/>
          <w:lang w:eastAsia="pt-BR"/>
        </w:rPr>
        <w:t>caput</w:t>
      </w:r>
      <w:r w:rsidRPr="00032822">
        <w:rPr>
          <w:rFonts w:ascii="Arial" w:eastAsia="Times New Roman" w:hAnsi="Arial" w:cs="Arial"/>
          <w:strike/>
          <w:color w:val="000000"/>
          <w:sz w:val="20"/>
          <w:szCs w:val="20"/>
          <w:lang w:eastAsia="pt-BR"/>
        </w:rPr>
        <w:t>.</w:t>
      </w:r>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w:t>
      </w:r>
      <w:bookmarkStart w:id="4" w:name="art31."/>
      <w:bookmarkEnd w:id="4"/>
      <w:r w:rsidRPr="00032822">
        <w:rPr>
          <w:rFonts w:ascii="Times New Roman" w:eastAsia="Times New Roman" w:hAnsi="Times New Roman" w:cs="Times New Roman"/>
          <w:color w:val="000000"/>
          <w:sz w:val="24"/>
          <w:szCs w:val="24"/>
          <w:lang w:eastAsia="pt-BR"/>
        </w:rPr>
        <w:t>Art. 31.  Para os fins de fixação da compensação ambiental de que trata o art. 36 da Lei n</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9.985, de 2000, o Instituto Brasileiro do Meio Ambiente e dos Recursos Naturais Renováveis - IBAMA estabelecerá o grau de impacto a partir de estudo prévio de impacto ambiental e respectivo relatório - EIA/RIMA, ocasião em que considerará, exclusivamente, os impactos ambientais negativos sobre o meio ambiente. </w:t>
      </w:r>
      <w:hyperlink r:id="rId30" w:anchor="art1" w:history="1">
        <w:r w:rsidRPr="00032822">
          <w:rPr>
            <w:rFonts w:ascii="Times New Roman" w:eastAsia="Times New Roman" w:hAnsi="Times New Roman" w:cs="Times New Roman"/>
            <w:color w:val="0000FF"/>
            <w:sz w:val="24"/>
            <w:szCs w:val="24"/>
            <w:u w:val="single"/>
            <w:lang w:eastAsia="pt-BR"/>
          </w:rPr>
          <w:t>(Redação dada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1</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impacto causado será levado em conta apenas uma vez no cálculo. </w:t>
      </w:r>
      <w:hyperlink r:id="rId31"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2</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cálculo deverá conter os indicadores do impacto gerado pelo empreendimento e das características do ambiente a ser impactado. </w:t>
      </w:r>
      <w:hyperlink r:id="rId32"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3</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xml:space="preserve">  Não serão incluídos no cálculo da compensação ambiental os investimentos referentes aos planos, projetos e programas exigidos no procedimento de licenciamento ambiental para mitigação de impactos, bem como os encargos e custos incidentes sobre </w:t>
      </w:r>
      <w:r w:rsidRPr="00032822">
        <w:rPr>
          <w:rFonts w:ascii="Times New Roman" w:eastAsia="Times New Roman" w:hAnsi="Times New Roman" w:cs="Times New Roman"/>
          <w:color w:val="000000"/>
          <w:sz w:val="24"/>
          <w:szCs w:val="24"/>
          <w:lang w:eastAsia="pt-BR"/>
        </w:rPr>
        <w:lastRenderedPageBreak/>
        <w:t>o financiamento do empreendimento, inclusive os relativos às garantias, e os custos com apólices e prêmios de seguros pessoais e reais. </w:t>
      </w:r>
      <w:hyperlink r:id="rId33"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4</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A compensação ambiental poderá incidir sobre cada trecho, naqueles empreendimentos em que for emitida a licença de instalação por trecho. </w:t>
      </w:r>
      <w:hyperlink r:id="rId34"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w:t>
      </w:r>
      <w:bookmarkStart w:id="5" w:name="art31a"/>
      <w:bookmarkEnd w:id="5"/>
      <w:r w:rsidRPr="00032822">
        <w:rPr>
          <w:rFonts w:ascii="Times New Roman" w:eastAsia="Times New Roman" w:hAnsi="Times New Roman" w:cs="Times New Roman"/>
          <w:color w:val="000000"/>
          <w:sz w:val="24"/>
          <w:szCs w:val="24"/>
          <w:lang w:eastAsia="pt-BR"/>
        </w:rPr>
        <w:t xml:space="preserve">Art. 31-A.  O Valor da Compensação Ambiental - CA será </w:t>
      </w:r>
      <w:proofErr w:type="gramStart"/>
      <w:r w:rsidRPr="00032822">
        <w:rPr>
          <w:rFonts w:ascii="Times New Roman" w:eastAsia="Times New Roman" w:hAnsi="Times New Roman" w:cs="Times New Roman"/>
          <w:color w:val="000000"/>
          <w:sz w:val="24"/>
          <w:szCs w:val="24"/>
          <w:lang w:eastAsia="pt-BR"/>
        </w:rPr>
        <w:t>calculado</w:t>
      </w:r>
      <w:proofErr w:type="gramEnd"/>
      <w:r w:rsidRPr="00032822">
        <w:rPr>
          <w:rFonts w:ascii="Times New Roman" w:eastAsia="Times New Roman" w:hAnsi="Times New Roman" w:cs="Times New Roman"/>
          <w:color w:val="000000"/>
          <w:sz w:val="24"/>
          <w:szCs w:val="24"/>
          <w:lang w:eastAsia="pt-BR"/>
        </w:rPr>
        <w:t xml:space="preserve"> pelo produto do Grau de Impacto - GI com o Valor de Referência - VR, de acordo com a fórmula a seguir: </w:t>
      </w:r>
      <w:hyperlink r:id="rId35" w:anchor="art2" w:history="1">
        <w:r w:rsidRPr="00032822">
          <w:rPr>
            <w:rFonts w:ascii="Times New Roman" w:eastAsia="Times New Roman" w:hAnsi="Times New Roman" w:cs="Times New Roman"/>
            <w:color w:val="0000FF"/>
            <w:sz w:val="24"/>
            <w:szCs w:val="24"/>
            <w:u w:val="single"/>
            <w:lang w:eastAsia="pt-BR"/>
          </w:rPr>
          <w:t>(Incluído pelo Decreto nº 6.848, de 2009)</w:t>
        </w:r>
      </w:hyperlink>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CA = VR x GI, onde: </w:t>
      </w:r>
      <w:hyperlink r:id="rId36"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CA = Valor da Compensação Ambiental; </w:t>
      </w:r>
      <w:hyperlink r:id="rId37"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rPr>
          <w:rFonts w:ascii="Arial" w:eastAsia="Times New Roman" w:hAnsi="Arial" w:cs="Arial"/>
          <w:color w:val="000000"/>
          <w:sz w:val="20"/>
          <w:szCs w:val="20"/>
          <w:lang w:eastAsia="pt-BR"/>
        </w:rPr>
      </w:pPr>
      <w:r w:rsidRPr="00032822">
        <w:rPr>
          <w:rFonts w:ascii="Arial" w:eastAsia="Times New Roman" w:hAnsi="Arial" w:cs="Arial"/>
          <w:color w:val="000000"/>
          <w:sz w:val="20"/>
          <w:szCs w:val="20"/>
          <w:lang w:eastAsia="pt-BR"/>
        </w:rPr>
        <w:t>        VR = somatório dos investimentos necessários para implantação do empreendimento, não incluídos os investimentos referentes aos planos, projetos e programas exigidos no procedimento de licenciamento ambiental para mitigação de impactos causados pelo empreendimento, bem como os encargos e custos incidentes sobre o financiamento do empreendimento, inclusive os relativos às garantias, e os custos com apólices e prêmios de seguros pessoais e reais; e </w:t>
      </w:r>
      <w:hyperlink r:id="rId38" w:anchor="art2" w:history="1">
        <w:r w:rsidRPr="00032822">
          <w:rPr>
            <w:rFonts w:ascii="Arial" w:eastAsia="Times New Roman" w:hAnsi="Arial" w:cs="Arial"/>
            <w:color w:val="0000FF"/>
            <w:sz w:val="20"/>
            <w:szCs w:val="20"/>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xml:space="preserve">        GI = Grau de Impacto nos ecossistemas, podendo atingir valores de </w:t>
      </w:r>
      <w:proofErr w:type="gramStart"/>
      <w:r w:rsidRPr="00032822">
        <w:rPr>
          <w:rFonts w:ascii="Times New Roman" w:eastAsia="Times New Roman" w:hAnsi="Times New Roman" w:cs="Times New Roman"/>
          <w:color w:val="000000"/>
          <w:sz w:val="24"/>
          <w:szCs w:val="24"/>
          <w:lang w:eastAsia="pt-BR"/>
        </w:rPr>
        <w:t>0</w:t>
      </w:r>
      <w:proofErr w:type="gramEnd"/>
      <w:r w:rsidRPr="00032822">
        <w:rPr>
          <w:rFonts w:ascii="Times New Roman" w:eastAsia="Times New Roman" w:hAnsi="Times New Roman" w:cs="Times New Roman"/>
          <w:color w:val="000000"/>
          <w:sz w:val="24"/>
          <w:szCs w:val="24"/>
          <w:lang w:eastAsia="pt-BR"/>
        </w:rPr>
        <w:t xml:space="preserve"> a 0,5%. </w:t>
      </w:r>
      <w:hyperlink r:id="rId39" w:anchor="art2" w:history="1">
        <w:r w:rsidRPr="00032822">
          <w:rPr>
            <w:rFonts w:ascii="Times New Roman" w:eastAsia="Times New Roman" w:hAnsi="Times New Roman" w:cs="Times New Roman"/>
            <w:color w:val="0000FF"/>
            <w:sz w:val="24"/>
            <w:szCs w:val="24"/>
            <w:u w:val="single"/>
            <w:lang w:eastAsia="pt-BR"/>
          </w:rPr>
          <w:t>(Incluído pelo Decreto nº 6.848, de 2009)</w:t>
        </w:r>
      </w:hyperlink>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1</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GI referido neste artigo será obtido conforme o disposto no Anexo deste Decreto. </w:t>
      </w:r>
      <w:hyperlink r:id="rId40"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2</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EIA/RIMA deverá conter as informações necessárias ao cálculo do GI. </w:t>
      </w:r>
      <w:hyperlink r:id="rId41"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3</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As informações necessárias ao calculo do VR deverão ser apresentadas pelo empreendedor ao órgão licenciador antes da emissão da licença de instalação. </w:t>
      </w:r>
      <w:hyperlink r:id="rId42"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4</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Nos casos em que a compensação ambiental incidir sobre cada trecho do empreendimento, o VR será calculado com base nos investimentos que causam impactos ambientais, relativos ao trecho. </w:t>
      </w:r>
      <w:hyperlink r:id="rId43"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val="en-US" w:eastAsia="pt-BR"/>
        </w:rPr>
        <w:t>        </w:t>
      </w:r>
      <w:bookmarkStart w:id="6" w:name="art31b"/>
      <w:bookmarkEnd w:id="6"/>
      <w:r w:rsidRPr="00032822">
        <w:rPr>
          <w:rFonts w:ascii="Times New Roman" w:eastAsia="Times New Roman" w:hAnsi="Times New Roman" w:cs="Times New Roman"/>
          <w:color w:val="000000"/>
          <w:sz w:val="24"/>
          <w:szCs w:val="24"/>
          <w:lang w:val="en-US" w:eastAsia="pt-BR"/>
        </w:rPr>
        <w:t>Art. </w:t>
      </w:r>
      <w:proofErr w:type="gramStart"/>
      <w:r w:rsidRPr="00032822">
        <w:rPr>
          <w:rFonts w:ascii="Times New Roman" w:eastAsia="Times New Roman" w:hAnsi="Times New Roman" w:cs="Times New Roman"/>
          <w:color w:val="000000"/>
          <w:sz w:val="24"/>
          <w:szCs w:val="24"/>
          <w:lang w:val="en-US" w:eastAsia="pt-BR"/>
        </w:rPr>
        <w:t>31-B.</w:t>
      </w:r>
      <w:proofErr w:type="gramEnd"/>
      <w:r w:rsidRPr="00032822">
        <w:rPr>
          <w:rFonts w:ascii="Times New Roman" w:eastAsia="Times New Roman" w:hAnsi="Times New Roman" w:cs="Times New Roman"/>
          <w:color w:val="000000"/>
          <w:sz w:val="24"/>
          <w:szCs w:val="24"/>
          <w:lang w:val="en-US" w:eastAsia="pt-BR"/>
        </w:rPr>
        <w:t>  </w:t>
      </w:r>
      <w:r w:rsidRPr="00032822">
        <w:rPr>
          <w:rFonts w:ascii="Times New Roman" w:eastAsia="Times New Roman" w:hAnsi="Times New Roman" w:cs="Times New Roman"/>
          <w:color w:val="000000"/>
          <w:sz w:val="24"/>
          <w:szCs w:val="24"/>
          <w:lang w:eastAsia="pt-BR"/>
        </w:rPr>
        <w:t>Caberá ao IBAMA realizar o cálculo da compensação ambiental de acordo com as informações a que se refere o art. 31-A. </w:t>
      </w:r>
      <w:hyperlink r:id="rId44"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1</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Da decisão do cálculo da compensação ambiental caberá recurso no prazo de dez dias, conforme regulamentação a ser definida pelo órgão licenciador. </w:t>
      </w:r>
      <w:hyperlink r:id="rId45"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2</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recurso será dirigido à autoridade que proferiu a decisão, a qual, se não a reconsiderar no prazo de cinco dias, o encaminhará à autoridade superior. </w:t>
      </w:r>
      <w:hyperlink r:id="rId46"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lastRenderedPageBreak/>
        <w:t>        § 3</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O órgão licenciador deverá julgar o recurso no prazo de até trinta dias, salvo prorrogação por igual período expressamente motivada. </w:t>
      </w:r>
      <w:hyperlink r:id="rId47" w:anchor="art2"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 4</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Fixado em caráter final o valor da compensação, o IBAMA definirá sua destinação, ouvido o Instituto Chico Mendes de Conservação da Biodiversidade - Instituto Chico Mendes e observado o § 2</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do art. 36 da Lei n</w:t>
      </w:r>
      <w:r w:rsidRPr="00032822">
        <w:rPr>
          <w:rFonts w:ascii="Times New Roman" w:eastAsia="Times New Roman" w:hAnsi="Times New Roman" w:cs="Times New Roman"/>
          <w:color w:val="000000"/>
          <w:sz w:val="24"/>
          <w:szCs w:val="24"/>
          <w:u w:val="single"/>
          <w:vertAlign w:val="superscript"/>
          <w:lang w:eastAsia="pt-BR"/>
        </w:rPr>
        <w:t>o</w:t>
      </w:r>
      <w:r w:rsidRPr="00032822">
        <w:rPr>
          <w:rFonts w:ascii="Times New Roman" w:eastAsia="Times New Roman" w:hAnsi="Times New Roman" w:cs="Times New Roman"/>
          <w:color w:val="000000"/>
          <w:sz w:val="24"/>
          <w:szCs w:val="24"/>
          <w:lang w:eastAsia="pt-BR"/>
        </w:rPr>
        <w:t xml:space="preserve"> 9.985, de </w:t>
      </w:r>
      <w:proofErr w:type="gramStart"/>
      <w:r w:rsidRPr="00032822">
        <w:rPr>
          <w:rFonts w:ascii="Times New Roman" w:eastAsia="Times New Roman" w:hAnsi="Times New Roman" w:cs="Times New Roman"/>
          <w:color w:val="000000"/>
          <w:sz w:val="24"/>
          <w:szCs w:val="24"/>
          <w:lang w:eastAsia="pt-BR"/>
        </w:rPr>
        <w:t>2000.</w:t>
      </w:r>
      <w:proofErr w:type="gramEnd"/>
      <w:r w:rsidRPr="00032822">
        <w:rPr>
          <w:rFonts w:ascii="Times New Roman" w:eastAsia="Times New Roman" w:hAnsi="Times New Roman" w:cs="Times New Roman"/>
          <w:color w:val="000000"/>
          <w:sz w:val="24"/>
          <w:szCs w:val="24"/>
          <w:lang w:eastAsia="pt-BR"/>
        </w:rPr>
        <w:fldChar w:fldCharType="begin"/>
      </w:r>
      <w:r w:rsidRPr="00032822">
        <w:rPr>
          <w:rFonts w:ascii="Times New Roman" w:eastAsia="Times New Roman" w:hAnsi="Times New Roman" w:cs="Times New Roman"/>
          <w:color w:val="000000"/>
          <w:sz w:val="24"/>
          <w:szCs w:val="24"/>
          <w:lang w:eastAsia="pt-BR"/>
        </w:rPr>
        <w:instrText xml:space="preserve"> HYPERLINK "http://www.planalto.gov.br/ccivil_03/_Ato2007-2010/2009/Decreto/D6848.htm" \l "art2" </w:instrText>
      </w:r>
      <w:r w:rsidRPr="00032822">
        <w:rPr>
          <w:rFonts w:ascii="Times New Roman" w:eastAsia="Times New Roman" w:hAnsi="Times New Roman" w:cs="Times New Roman"/>
          <w:color w:val="000000"/>
          <w:sz w:val="24"/>
          <w:szCs w:val="24"/>
          <w:lang w:eastAsia="pt-BR"/>
        </w:rPr>
        <w:fldChar w:fldCharType="separate"/>
      </w:r>
      <w:r w:rsidRPr="00032822">
        <w:rPr>
          <w:rFonts w:ascii="Times New Roman" w:eastAsia="Times New Roman" w:hAnsi="Times New Roman" w:cs="Times New Roman"/>
          <w:color w:val="0000FF"/>
          <w:sz w:val="24"/>
          <w:szCs w:val="24"/>
          <w:u w:val="single"/>
          <w:lang w:eastAsia="pt-BR"/>
        </w:rPr>
        <w:t>(Incluído pelo Decreto nº 6.848, de 2009)</w:t>
      </w:r>
      <w:r w:rsidRPr="00032822">
        <w:rPr>
          <w:rFonts w:ascii="Times New Roman" w:eastAsia="Times New Roman" w:hAnsi="Times New Roman" w:cs="Times New Roman"/>
          <w:color w:val="000000"/>
          <w:sz w:val="24"/>
          <w:szCs w:val="24"/>
          <w:lang w:eastAsia="pt-BR"/>
        </w:rPr>
        <w:fldChar w:fldCharType="end"/>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bookmarkStart w:id="7" w:name="art33"/>
      <w:bookmarkEnd w:id="7"/>
      <w:r w:rsidRPr="00032822">
        <w:rPr>
          <w:rFonts w:ascii="Arial" w:eastAsia="Times New Roman" w:hAnsi="Arial" w:cs="Arial"/>
          <w:strike/>
          <w:color w:val="000000"/>
          <w:sz w:val="20"/>
          <w:szCs w:val="20"/>
          <w:lang w:eastAsia="pt-BR"/>
        </w:rPr>
        <w:t>Art. 32.  Será instituída no âmbito dos órgãos licenciadores câmaras de compensação ambiental, compostas por representantes do órgão, com a finalidade de analisar e propor a aplicação da compensação ambiental, para a aprovação da autoridade competente, de acordo com os estudos ambientais realizados e percentuais definidos.</w:t>
      </w:r>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w:t>
      </w:r>
      <w:bookmarkStart w:id="8" w:name="art32."/>
      <w:bookmarkEnd w:id="8"/>
      <w:r w:rsidRPr="00032822">
        <w:rPr>
          <w:rFonts w:ascii="Times New Roman" w:eastAsia="Times New Roman" w:hAnsi="Times New Roman" w:cs="Times New Roman"/>
          <w:color w:val="000000"/>
          <w:sz w:val="24"/>
          <w:szCs w:val="24"/>
          <w:lang w:eastAsia="pt-BR"/>
        </w:rPr>
        <w:t>Art. 32.  Será instituída câmara de compensação ambiental no âmbito do Ministério do Meio Ambiente, com a finalidade de: </w:t>
      </w:r>
      <w:hyperlink r:id="rId48" w:anchor="art1" w:history="1">
        <w:r w:rsidRPr="00032822">
          <w:rPr>
            <w:rFonts w:ascii="Times New Roman" w:eastAsia="Times New Roman" w:hAnsi="Times New Roman" w:cs="Times New Roman"/>
            <w:color w:val="0000FF"/>
            <w:sz w:val="24"/>
            <w:szCs w:val="24"/>
            <w:u w:val="single"/>
            <w:lang w:eastAsia="pt-BR"/>
          </w:rPr>
          <w:t>(Redação dada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I - estabelecer prioridades e diretrizes para aplicação da compensação ambiental; </w:t>
      </w:r>
      <w:hyperlink r:id="rId49"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II - avaliar e auditar, periodicamente, a metodologia e os procedimentos de cálculo da compensação ambiental, de acordo com estudos ambientais realizados e percentuais definidos; </w:t>
      </w:r>
      <w:hyperlink r:id="rId50"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rPr>
          <w:rFonts w:ascii="Arial" w:eastAsia="Times New Roman" w:hAnsi="Arial" w:cs="Arial"/>
          <w:color w:val="000000"/>
          <w:sz w:val="20"/>
          <w:szCs w:val="20"/>
          <w:lang w:eastAsia="pt-BR"/>
        </w:rPr>
      </w:pPr>
      <w:r w:rsidRPr="00032822">
        <w:rPr>
          <w:rFonts w:ascii="Arial" w:eastAsia="Times New Roman" w:hAnsi="Arial" w:cs="Arial"/>
          <w:color w:val="000000"/>
          <w:sz w:val="20"/>
          <w:szCs w:val="20"/>
          <w:lang w:eastAsia="pt-BR"/>
        </w:rPr>
        <w:t>        III - propor diretrizes necessárias para agilizar a regularização fundiária das unidades de conservação; e </w:t>
      </w:r>
      <w:hyperlink r:id="rId51" w:anchor="art1" w:history="1">
        <w:r w:rsidRPr="00032822">
          <w:rPr>
            <w:rFonts w:ascii="Arial" w:eastAsia="Times New Roman" w:hAnsi="Arial" w:cs="Arial"/>
            <w:color w:val="0000FF"/>
            <w:sz w:val="20"/>
            <w:szCs w:val="20"/>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32822">
        <w:rPr>
          <w:rFonts w:ascii="Times New Roman" w:eastAsia="Times New Roman" w:hAnsi="Times New Roman" w:cs="Times New Roman"/>
          <w:color w:val="000000"/>
          <w:sz w:val="24"/>
          <w:szCs w:val="24"/>
          <w:lang w:eastAsia="pt-BR"/>
        </w:rPr>
        <w:t>        IV - estabelecer diretrizes para elaboração e implantação dos planos de manejo das unidades de conservação. </w:t>
      </w:r>
      <w:hyperlink r:id="rId52" w:anchor="art1" w:history="1">
        <w:r w:rsidRPr="00032822">
          <w:rPr>
            <w:rFonts w:ascii="Times New Roman" w:eastAsia="Times New Roman" w:hAnsi="Times New Roman" w:cs="Times New Roman"/>
            <w:color w:val="0000FF"/>
            <w:sz w:val="24"/>
            <w:szCs w:val="24"/>
            <w:u w:val="single"/>
            <w:lang w:eastAsia="pt-BR"/>
          </w:rPr>
          <w:t>(Incluído pelo Decreto nº 6.848, de 2009)</w:t>
        </w:r>
        <w:proofErr w:type="gramStart"/>
      </w:hyperlink>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33.  A aplicação dos recursos da compensação ambiental de que trata o </w:t>
      </w:r>
      <w:hyperlink r:id="rId53" w:anchor="art36" w:history="1">
        <w:r w:rsidRPr="00032822">
          <w:rPr>
            <w:rFonts w:ascii="Arial" w:eastAsia="Times New Roman" w:hAnsi="Arial" w:cs="Arial"/>
            <w:color w:val="0000FF"/>
            <w:sz w:val="20"/>
            <w:szCs w:val="20"/>
            <w:u w:val="single"/>
            <w:lang w:eastAsia="pt-BR"/>
          </w:rPr>
          <w:t>art. 36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9.985, de 2000</w:t>
        </w:r>
      </w:hyperlink>
      <w:r w:rsidRPr="00032822">
        <w:rPr>
          <w:rFonts w:ascii="Arial" w:eastAsia="Times New Roman" w:hAnsi="Arial" w:cs="Arial"/>
          <w:color w:val="000000"/>
          <w:sz w:val="20"/>
          <w:szCs w:val="20"/>
          <w:lang w:eastAsia="pt-BR"/>
        </w:rPr>
        <w:t>, nas unidades de conservação, existentes ou a serem criadas, deve obedecer à seguinte ordem de prioridade: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regularização fundiária e demarcação das terras;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elaboração, revisão ou implantação de plano de manejo;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III - aquisição de bens e serviços necessários à implantação, gestão, monitoramento e proteção da unidade, compreendendo sua área de amortecimento;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IV - desenvolvimento de estudos necessários à criação de nova unidade de conservação;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V - desenvolvimento de pesquisas necessárias para o manejo da unidade de conservação e área de amortecimento.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Nos casos de Reserva Particular do Patrimônio Natural, Monumento Natural, Refúgio de Vida Silvestre, Área de Relevante Interesse Ecológico e Área de Proteção Ambiental, quando a posse e o domínio não sejam do Poder Público, os recursos da compensação somente poderão ser aplicados para custear as seguintes atividades: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elaboração do Plano de Manejo ou nas atividades de proteção da unidade;</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II - realização das pesquisas necessárias para o manejo da unidade, sendo vedada a aquisição de bens e equipamentos permanentes;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III - implantação de programas de educação ambiental;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IV - financiamento de estudos de viabilidade econômica para uso sustentável dos recursos naturais da unidade afetada.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34.  Os empreendimentos implantados antes da edição deste Decreto e em operação sem as respectivas licenças ambientais deverão requerer, no prazo de doze meses a partir da publicação deste Decreto, a regularização junto ao órgão ambiental competente mediante licença de operação corretiva ou retificadora.</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IX</w:t>
      </w:r>
      <w:r w:rsidRPr="00032822">
        <w:rPr>
          <w:rFonts w:ascii="Arial" w:eastAsia="Times New Roman" w:hAnsi="Arial" w:cs="Arial"/>
          <w:color w:val="000000"/>
          <w:sz w:val="20"/>
          <w:szCs w:val="20"/>
          <w:lang w:eastAsia="pt-BR"/>
        </w:rPr>
        <w:br/>
        <w:t>DO REASSENTAMENTO DAS POPULAÇÕES TRADICIONAIS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35.  O processo indenizatório de que trata o </w:t>
      </w:r>
      <w:hyperlink r:id="rId54" w:anchor="art42" w:history="1">
        <w:r w:rsidRPr="00032822">
          <w:rPr>
            <w:rFonts w:ascii="Arial" w:eastAsia="Times New Roman" w:hAnsi="Arial" w:cs="Arial"/>
            <w:color w:val="0000FF"/>
            <w:sz w:val="20"/>
            <w:szCs w:val="20"/>
            <w:u w:val="single"/>
            <w:lang w:eastAsia="pt-BR"/>
          </w:rPr>
          <w:t>art. 42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9.985, de 2000</w:t>
        </w:r>
      </w:hyperlink>
      <w:r w:rsidRPr="00032822">
        <w:rPr>
          <w:rFonts w:ascii="Arial" w:eastAsia="Times New Roman" w:hAnsi="Arial" w:cs="Arial"/>
          <w:color w:val="000000"/>
          <w:sz w:val="20"/>
          <w:szCs w:val="20"/>
          <w:lang w:eastAsia="pt-BR"/>
        </w:rPr>
        <w:t>, respeitará o modo de vida e as fontes de subsistência das populações tradicionais.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36.  Apenas as populações tradicionais residentes na unidade no momento da sua criação terão direito ao reassentamento.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37.  O valor das benfeitorias realizadas pelo Poder Público, a título de compensação, na área de reassentamento será descontado do valor indenizatório.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38.  O órgão fundiário competente, quando solicitado pelo órgão executor, deve apresentar, no prazo de seis meses, a contar da data do pedido, programa de trabalho para atender às demandas de reassentamento das populações tradicionais, com definição de prazos e condições para a sua realização.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Art. 39.  Enquanto não forem reassentadas, as condições de permanência das populações tradicionais em Unidade de Conservação de Proteção Integral serão </w:t>
      </w:r>
      <w:proofErr w:type="gramStart"/>
      <w:r w:rsidRPr="00032822">
        <w:rPr>
          <w:rFonts w:ascii="Arial" w:eastAsia="Times New Roman" w:hAnsi="Arial" w:cs="Arial"/>
          <w:color w:val="000000"/>
          <w:sz w:val="20"/>
          <w:szCs w:val="20"/>
          <w:lang w:eastAsia="pt-BR"/>
        </w:rPr>
        <w:t>reguladas por termo de compromisso, negociado entre o órgão executor e as populações</w:t>
      </w:r>
      <w:proofErr w:type="gramEnd"/>
      <w:r w:rsidRPr="00032822">
        <w:rPr>
          <w:rFonts w:ascii="Arial" w:eastAsia="Times New Roman" w:hAnsi="Arial" w:cs="Arial"/>
          <w:color w:val="000000"/>
          <w:sz w:val="20"/>
          <w:szCs w:val="20"/>
          <w:lang w:eastAsia="pt-BR"/>
        </w:rPr>
        <w:t>, ouvido o conselho da unidade de conservação.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termo de compromisso deve indicar as áreas ocupadas, as limitações necessárias para assegurar a conservação da natureza e os deveres do órgão executor referentes ao processo indenizatório, assegurados o acesso das populações às suas fontes de subsistência e a conservação dos seus modos de vida.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termo de compromisso será assinado pelo órgão executor e pelo representante de cada família, assistido, quando couber, pela comunidade rural ou associação legalmente constituída.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3</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termo de compromisso será assinado no prazo máximo de um ano após a criação da unidade de conservação e, no caso de unidade já criada, no prazo máximo de dois anos contado da publicação deste Decreto.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4</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O prazo e as condições para o reassentamento das populações tradicionais estarão definidos no termo de compromisso.</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X</w:t>
      </w:r>
      <w:r w:rsidRPr="00032822">
        <w:rPr>
          <w:rFonts w:ascii="Arial" w:eastAsia="Times New Roman" w:hAnsi="Arial" w:cs="Arial"/>
          <w:color w:val="000000"/>
          <w:sz w:val="20"/>
          <w:szCs w:val="20"/>
          <w:lang w:eastAsia="pt-BR"/>
        </w:rPr>
        <w:br/>
        <w:t>DA REAVALIAÇÃO DE UNIDADE DE CONSERVAÇÃO DE CATEGORIA NÃO PREVISTA NO SISTEMA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40.  A reavaliação de unidade de conservação prevista no </w:t>
      </w:r>
      <w:hyperlink r:id="rId55" w:anchor="art55" w:history="1">
        <w:r w:rsidRPr="00032822">
          <w:rPr>
            <w:rFonts w:ascii="Arial" w:eastAsia="Times New Roman" w:hAnsi="Arial" w:cs="Arial"/>
            <w:color w:val="0000FF"/>
            <w:sz w:val="20"/>
            <w:szCs w:val="20"/>
            <w:u w:val="single"/>
            <w:lang w:eastAsia="pt-BR"/>
          </w:rPr>
          <w:t>art. 55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9.985, de </w:t>
        </w:r>
        <w:proofErr w:type="gramStart"/>
        <w:r w:rsidRPr="00032822">
          <w:rPr>
            <w:rFonts w:ascii="Arial" w:eastAsia="Times New Roman" w:hAnsi="Arial" w:cs="Arial"/>
            <w:color w:val="0000FF"/>
            <w:sz w:val="20"/>
            <w:szCs w:val="20"/>
            <w:u w:val="single"/>
            <w:lang w:eastAsia="pt-BR"/>
          </w:rPr>
          <w:t>2000,</w:t>
        </w:r>
        <w:proofErr w:type="gramEnd"/>
      </w:hyperlink>
      <w:r w:rsidRPr="00032822">
        <w:rPr>
          <w:rFonts w:ascii="Arial" w:eastAsia="Times New Roman" w:hAnsi="Arial" w:cs="Arial"/>
          <w:color w:val="000000"/>
          <w:sz w:val="20"/>
          <w:szCs w:val="20"/>
          <w:lang w:eastAsia="pt-BR"/>
        </w:rPr>
        <w:t> será feita mediante ato normativo do mesmo nível hierárquico que a criou.</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Parágrafo único.  O ato normativo de reavaliação será proposto pelo órgão executor.</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XI</w:t>
      </w:r>
      <w:r w:rsidRPr="00032822">
        <w:rPr>
          <w:rFonts w:ascii="Arial" w:eastAsia="Times New Roman" w:hAnsi="Arial" w:cs="Arial"/>
          <w:color w:val="000000"/>
          <w:sz w:val="20"/>
          <w:szCs w:val="20"/>
          <w:lang w:eastAsia="pt-BR"/>
        </w:rPr>
        <w:br/>
        <w:t>DAS RESERVAS DA BIOSFERA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41.  A Reserva da Biosfera é um modelo de gestão integrada, participativa e sustentável dos recursos naturais, que tem por objetivos básicos a preservação da biodiversidade e o desenvolvimento das atividades de pesquisa científica, para aprofundar o conhecimento dessa diversidade biológica, o monitoramento ambiental, a educação ambiental, o desenvolvimento sustentável e a melhoria da qualidade de vida das populações.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42.  O gerenciamento das Reservas da Biosfera será coordenado pela Comissão Brasileira para o Programa "O Homem e a Biosfera" - COBRAMAB, de que trata o Decreto de 21 de setembro de 1999, com a finalidade de planejar, coordenar e supervisionar as atividades relativas ao Programa.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43.  Cabe à COBRAMAB, além do estabelecido no Decreto de 21 de setembro de 1999, apoiar a criação e instalar o sistema de gestão de cada uma das Reservas da Biosfera reconhecidas no Brasil.</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1</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Quando a Reserva da Biosfera abranger o território de apenas um Estado, o sistema de gestão será composto por um conselho deliberativo e por comitês regionais.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2</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xml:space="preserve">  Quando a Reserva da Biosfera abranger o território de mais de um Estado, o sistema de gestão será </w:t>
      </w:r>
      <w:proofErr w:type="gramStart"/>
      <w:r w:rsidRPr="00032822">
        <w:rPr>
          <w:rFonts w:ascii="Arial" w:eastAsia="Times New Roman" w:hAnsi="Arial" w:cs="Arial"/>
          <w:color w:val="000000"/>
          <w:sz w:val="20"/>
          <w:szCs w:val="20"/>
          <w:lang w:eastAsia="pt-BR"/>
        </w:rPr>
        <w:t>composto</w:t>
      </w:r>
      <w:proofErr w:type="gramEnd"/>
      <w:r w:rsidRPr="00032822">
        <w:rPr>
          <w:rFonts w:ascii="Arial" w:eastAsia="Times New Roman" w:hAnsi="Arial" w:cs="Arial"/>
          <w:color w:val="000000"/>
          <w:sz w:val="20"/>
          <w:szCs w:val="20"/>
          <w:lang w:eastAsia="pt-BR"/>
        </w:rPr>
        <w:t xml:space="preserve"> por um conselho deliberativo e por comitês estaduais.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 3</w:t>
      </w:r>
      <w:r w:rsidRPr="00032822">
        <w:rPr>
          <w:rFonts w:ascii="Arial" w:eastAsia="Times New Roman" w:hAnsi="Arial" w:cs="Arial"/>
          <w:color w:val="000000"/>
          <w:sz w:val="20"/>
          <w:szCs w:val="20"/>
          <w:u w:val="single"/>
          <w:vertAlign w:val="superscript"/>
          <w:lang w:eastAsia="pt-BR"/>
        </w:rPr>
        <w:t>o</w:t>
      </w:r>
      <w:r w:rsidRPr="00032822">
        <w:rPr>
          <w:rFonts w:ascii="Arial" w:eastAsia="Times New Roman" w:hAnsi="Arial" w:cs="Arial"/>
          <w:color w:val="000000"/>
          <w:sz w:val="20"/>
          <w:szCs w:val="20"/>
          <w:lang w:eastAsia="pt-BR"/>
        </w:rPr>
        <w:t>  À COBRAMAB compete criar e coordenar a Rede Nacional de Reservas da Biosfera.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44.  Compete aos conselhos deliberativos das Reservas da Biosfera: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 - aprovar a estrutura do sistema de gestão de sua Reserva e coordená-lo;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II - propor à COBRAMAB </w:t>
      </w:r>
      <w:proofErr w:type="spellStart"/>
      <w:r w:rsidRPr="00032822">
        <w:rPr>
          <w:rFonts w:ascii="Arial" w:eastAsia="Times New Roman" w:hAnsi="Arial" w:cs="Arial"/>
          <w:color w:val="000000"/>
          <w:sz w:val="20"/>
          <w:szCs w:val="20"/>
          <w:lang w:eastAsia="pt-BR"/>
        </w:rPr>
        <w:t>macro-diretrizes</w:t>
      </w:r>
      <w:proofErr w:type="spellEnd"/>
      <w:r w:rsidRPr="00032822">
        <w:rPr>
          <w:rFonts w:ascii="Arial" w:eastAsia="Times New Roman" w:hAnsi="Arial" w:cs="Arial"/>
          <w:color w:val="000000"/>
          <w:sz w:val="20"/>
          <w:szCs w:val="20"/>
          <w:lang w:eastAsia="pt-BR"/>
        </w:rPr>
        <w:t xml:space="preserve"> para a implantação das Reservas da Biosfera;</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III - elaborar planos de ação da Reserva da Biosfera, propondo prioridades, metodologias, cronogramas, parcerias e áreas temáticas de atuação, de acordo como os objetivos básicos enumerados no </w:t>
      </w:r>
      <w:hyperlink r:id="rId56" w:anchor="art41" w:history="1">
        <w:r w:rsidRPr="00032822">
          <w:rPr>
            <w:rFonts w:ascii="Arial" w:eastAsia="Times New Roman" w:hAnsi="Arial" w:cs="Arial"/>
            <w:color w:val="0000FF"/>
            <w:sz w:val="20"/>
            <w:szCs w:val="20"/>
            <w:u w:val="single"/>
            <w:lang w:eastAsia="pt-BR"/>
          </w:rPr>
          <w:t>art. 41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9.985, de </w:t>
        </w:r>
        <w:proofErr w:type="gramStart"/>
        <w:r w:rsidRPr="00032822">
          <w:rPr>
            <w:rFonts w:ascii="Arial" w:eastAsia="Times New Roman" w:hAnsi="Arial" w:cs="Arial"/>
            <w:color w:val="0000FF"/>
            <w:sz w:val="20"/>
            <w:szCs w:val="20"/>
            <w:u w:val="single"/>
            <w:lang w:eastAsia="pt-BR"/>
          </w:rPr>
          <w:t>2000;</w:t>
        </w:r>
        <w:proofErr w:type="gramEnd"/>
      </w:hyperlink>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IV - reforçar a implantação da Reserva da Biosfera pela proposição de projetos pilotos em pontos estratégicos de sua área de domínio;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V - implantar, nas áreas de domínio da Reserva da Biosfera, os princípios básicos constantes do </w:t>
      </w:r>
      <w:hyperlink r:id="rId57" w:anchor="art41" w:history="1">
        <w:r w:rsidRPr="00032822">
          <w:rPr>
            <w:rFonts w:ascii="Arial" w:eastAsia="Times New Roman" w:hAnsi="Arial" w:cs="Arial"/>
            <w:color w:val="0000FF"/>
            <w:sz w:val="20"/>
            <w:szCs w:val="20"/>
            <w:u w:val="single"/>
            <w:lang w:eastAsia="pt-BR"/>
          </w:rPr>
          <w:t>art. 41 da Lei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9.985, de </w:t>
        </w:r>
        <w:proofErr w:type="gramStart"/>
        <w:r w:rsidRPr="00032822">
          <w:rPr>
            <w:rFonts w:ascii="Arial" w:eastAsia="Times New Roman" w:hAnsi="Arial" w:cs="Arial"/>
            <w:color w:val="0000FF"/>
            <w:sz w:val="20"/>
            <w:szCs w:val="20"/>
            <w:u w:val="single"/>
            <w:lang w:eastAsia="pt-BR"/>
          </w:rPr>
          <w:t>2000.</w:t>
        </w:r>
        <w:proofErr w:type="gramEnd"/>
      </w:hyperlink>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45.  Compete aos comitês regionais e estaduais: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xml:space="preserve">        I - apoiar os governos locais no estabelecimento de políticas públicas relativas às Reservas da Biosfera; </w:t>
      </w:r>
      <w:proofErr w:type="gramStart"/>
      <w:r w:rsidRPr="00032822">
        <w:rPr>
          <w:rFonts w:ascii="Arial" w:eastAsia="Times New Roman" w:hAnsi="Arial" w:cs="Arial"/>
          <w:color w:val="000000"/>
          <w:sz w:val="20"/>
          <w:szCs w:val="20"/>
          <w:lang w:eastAsia="pt-BR"/>
        </w:rPr>
        <w:t>e</w:t>
      </w:r>
      <w:proofErr w:type="gramEnd"/>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II - apontar áreas prioritárias e propor estratégias para a implantação das Reservas da Biosfera, bem como para a difusão de seus conceitos e funções.</w:t>
      </w:r>
    </w:p>
    <w:p w:rsidR="00032822" w:rsidRPr="00032822" w:rsidRDefault="00032822" w:rsidP="0003282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CAPÍTULO XII</w:t>
      </w:r>
      <w:r w:rsidRPr="00032822">
        <w:rPr>
          <w:rFonts w:ascii="Arial" w:eastAsia="Times New Roman" w:hAnsi="Arial" w:cs="Arial"/>
          <w:color w:val="000000"/>
          <w:sz w:val="20"/>
          <w:szCs w:val="20"/>
          <w:lang w:eastAsia="pt-BR"/>
        </w:rPr>
        <w:br/>
        <w:t>DAS DISPOSIÇÕES FINAIS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lastRenderedPageBreak/>
        <w:t>        Art. 46.  Cada categoria de unidade de conservação integrante do SNUC será objeto de regulamento específico.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Parágrafo único.  O Ministério do Meio Ambiente deverá propor regulamentação de cada categoria de unidade de conservação, ouvidos os órgãos executores.</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Art. 47.  Este Decreto entra em vigor na data da sua publicação.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w:t>
      </w:r>
      <w:bookmarkStart w:id="9" w:name="art48"/>
      <w:bookmarkEnd w:id="9"/>
      <w:r w:rsidRPr="00032822">
        <w:rPr>
          <w:rFonts w:ascii="Arial" w:eastAsia="Times New Roman" w:hAnsi="Arial" w:cs="Arial"/>
          <w:color w:val="000000"/>
          <w:sz w:val="20"/>
          <w:szCs w:val="20"/>
          <w:lang w:eastAsia="pt-BR"/>
        </w:rPr>
        <w:t>Art. 48.  Fica revogado o </w:t>
      </w:r>
      <w:hyperlink r:id="rId58" w:history="1">
        <w:r w:rsidRPr="00032822">
          <w:rPr>
            <w:rFonts w:ascii="Arial" w:eastAsia="Times New Roman" w:hAnsi="Arial" w:cs="Arial"/>
            <w:color w:val="0000FF"/>
            <w:sz w:val="20"/>
            <w:szCs w:val="20"/>
            <w:u w:val="single"/>
            <w:lang w:eastAsia="pt-BR"/>
          </w:rPr>
          <w:t>Decreto n</w:t>
        </w:r>
        <w:r w:rsidRPr="00032822">
          <w:rPr>
            <w:rFonts w:ascii="Arial" w:eastAsia="Times New Roman" w:hAnsi="Arial" w:cs="Arial"/>
            <w:color w:val="0000FF"/>
            <w:sz w:val="20"/>
            <w:szCs w:val="20"/>
            <w:u w:val="single"/>
            <w:vertAlign w:val="superscript"/>
            <w:lang w:eastAsia="pt-BR"/>
          </w:rPr>
          <w:t>o</w:t>
        </w:r>
        <w:r w:rsidRPr="00032822">
          <w:rPr>
            <w:rFonts w:ascii="Arial" w:eastAsia="Times New Roman" w:hAnsi="Arial" w:cs="Arial"/>
            <w:color w:val="0000FF"/>
            <w:sz w:val="20"/>
            <w:szCs w:val="20"/>
            <w:u w:val="single"/>
            <w:lang w:eastAsia="pt-BR"/>
          </w:rPr>
          <w:t xml:space="preserve"> 3.834, de </w:t>
        </w:r>
        <w:proofErr w:type="gramStart"/>
        <w:r w:rsidRPr="00032822">
          <w:rPr>
            <w:rFonts w:ascii="Arial" w:eastAsia="Times New Roman" w:hAnsi="Arial" w:cs="Arial"/>
            <w:color w:val="0000FF"/>
            <w:sz w:val="20"/>
            <w:szCs w:val="20"/>
            <w:u w:val="single"/>
            <w:lang w:eastAsia="pt-BR"/>
          </w:rPr>
          <w:t>5</w:t>
        </w:r>
        <w:proofErr w:type="gramEnd"/>
        <w:r w:rsidRPr="00032822">
          <w:rPr>
            <w:rFonts w:ascii="Arial" w:eastAsia="Times New Roman" w:hAnsi="Arial" w:cs="Arial"/>
            <w:color w:val="0000FF"/>
            <w:sz w:val="20"/>
            <w:szCs w:val="20"/>
            <w:u w:val="single"/>
            <w:lang w:eastAsia="pt-BR"/>
          </w:rPr>
          <w:t xml:space="preserve"> de junho de 2001.</w:t>
        </w:r>
      </w:hyperlink>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000000"/>
          <w:sz w:val="20"/>
          <w:szCs w:val="20"/>
          <w:lang w:eastAsia="pt-BR"/>
        </w:rPr>
        <w:t>        Brasília, 22 de agosto de 2002; 181</w:t>
      </w:r>
      <w:r w:rsidRPr="00032822">
        <w:rPr>
          <w:rFonts w:ascii="Arial" w:eastAsia="Times New Roman" w:hAnsi="Arial" w:cs="Arial"/>
          <w:strike/>
          <w:color w:val="000000"/>
          <w:sz w:val="20"/>
          <w:szCs w:val="20"/>
          <w:lang w:eastAsia="pt-BR"/>
        </w:rPr>
        <w:t>º</w:t>
      </w:r>
      <w:r w:rsidRPr="00032822">
        <w:rPr>
          <w:rFonts w:ascii="Arial" w:eastAsia="Times New Roman" w:hAnsi="Arial" w:cs="Arial"/>
          <w:color w:val="000000"/>
          <w:sz w:val="20"/>
          <w:szCs w:val="20"/>
          <w:lang w:eastAsia="pt-BR"/>
        </w:rPr>
        <w:t> da Independência e 114</w:t>
      </w:r>
      <w:r w:rsidRPr="00032822">
        <w:rPr>
          <w:rFonts w:ascii="Arial" w:eastAsia="Times New Roman" w:hAnsi="Arial" w:cs="Arial"/>
          <w:strike/>
          <w:color w:val="000000"/>
          <w:sz w:val="20"/>
          <w:szCs w:val="20"/>
          <w:lang w:eastAsia="pt-BR"/>
        </w:rPr>
        <w:t>º</w:t>
      </w:r>
      <w:r w:rsidRPr="00032822">
        <w:rPr>
          <w:rFonts w:ascii="Arial" w:eastAsia="Times New Roman" w:hAnsi="Arial" w:cs="Arial"/>
          <w:color w:val="000000"/>
          <w:sz w:val="20"/>
          <w:szCs w:val="20"/>
          <w:lang w:eastAsia="pt-BR"/>
        </w:rPr>
        <w:t> da República.</w:t>
      </w:r>
    </w:p>
    <w:p w:rsidR="00032822" w:rsidRPr="00032822" w:rsidRDefault="00032822" w:rsidP="00032822">
      <w:pPr>
        <w:spacing w:before="100" w:beforeAutospacing="1" w:after="100" w:afterAutospacing="1" w:line="240" w:lineRule="auto"/>
        <w:rPr>
          <w:rFonts w:ascii="Arial" w:eastAsia="Times New Roman" w:hAnsi="Arial" w:cs="Arial"/>
          <w:color w:val="000000"/>
          <w:sz w:val="27"/>
          <w:szCs w:val="27"/>
          <w:lang w:eastAsia="pt-BR"/>
        </w:rPr>
      </w:pPr>
      <w:r w:rsidRPr="00032822">
        <w:rPr>
          <w:rFonts w:ascii="Arial" w:eastAsia="Times New Roman" w:hAnsi="Arial" w:cs="Arial"/>
          <w:color w:val="000000"/>
          <w:sz w:val="20"/>
          <w:szCs w:val="20"/>
          <w:lang w:eastAsia="pt-BR"/>
        </w:rPr>
        <w:t>FERNANDO HENRIQUE CARDOSO</w:t>
      </w:r>
      <w:r w:rsidRPr="00032822">
        <w:rPr>
          <w:rFonts w:ascii="Arial" w:eastAsia="Times New Roman" w:hAnsi="Arial" w:cs="Arial"/>
          <w:color w:val="000000"/>
          <w:sz w:val="20"/>
          <w:szCs w:val="20"/>
          <w:lang w:eastAsia="pt-BR"/>
        </w:rPr>
        <w:br/>
      </w:r>
      <w:r w:rsidRPr="00032822">
        <w:rPr>
          <w:rFonts w:ascii="Arial" w:eastAsia="Times New Roman" w:hAnsi="Arial" w:cs="Arial"/>
          <w:i/>
          <w:iCs/>
          <w:color w:val="000000"/>
          <w:sz w:val="20"/>
          <w:szCs w:val="20"/>
          <w:lang w:eastAsia="pt-BR"/>
        </w:rPr>
        <w:t>José Carlos Carvalho</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Arial" w:eastAsia="Times New Roman" w:hAnsi="Arial" w:cs="Arial"/>
          <w:color w:val="FF0000"/>
          <w:sz w:val="24"/>
          <w:szCs w:val="24"/>
          <w:lang w:eastAsia="pt-BR"/>
        </w:rPr>
        <w:t xml:space="preserve">Este texto não substitui o publicado no D.O.U. </w:t>
      </w:r>
      <w:proofErr w:type="gramStart"/>
      <w:r w:rsidRPr="00032822">
        <w:rPr>
          <w:rFonts w:ascii="Arial" w:eastAsia="Times New Roman" w:hAnsi="Arial" w:cs="Arial"/>
          <w:color w:val="FF0000"/>
          <w:sz w:val="24"/>
          <w:szCs w:val="24"/>
          <w:lang w:eastAsia="pt-BR"/>
        </w:rPr>
        <w:t>de</w:t>
      </w:r>
      <w:proofErr w:type="gramEnd"/>
      <w:r w:rsidRPr="00032822">
        <w:rPr>
          <w:rFonts w:ascii="Arial" w:eastAsia="Times New Roman" w:hAnsi="Arial" w:cs="Arial"/>
          <w:color w:val="FF0000"/>
          <w:sz w:val="24"/>
          <w:szCs w:val="24"/>
          <w:lang w:eastAsia="pt-BR"/>
        </w:rPr>
        <w:t xml:space="preserve"> 23.8.2002</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032822" w:rsidRPr="00032822" w:rsidRDefault="00032822" w:rsidP="0003282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32822">
        <w:rPr>
          <w:rFonts w:ascii="Times New Roman" w:eastAsia="Times New Roman" w:hAnsi="Times New Roman" w:cs="Times New Roman"/>
          <w:color w:val="000000"/>
          <w:sz w:val="27"/>
          <w:szCs w:val="27"/>
          <w:lang w:eastAsia="pt-BR"/>
        </w:rPr>
        <w:t> </w:t>
      </w:r>
    </w:p>
    <w:p w:rsidR="005A6F9A" w:rsidRDefault="005A6F9A">
      <w:bookmarkStart w:id="10" w:name="_GoBack"/>
      <w:bookmarkEnd w:id="10"/>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2"/>
    <w:rsid w:val="00032822"/>
    <w:rsid w:val="005A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32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2822"/>
    <w:rPr>
      <w:b/>
      <w:bCs/>
    </w:rPr>
  </w:style>
  <w:style w:type="character" w:styleId="Hyperlink">
    <w:name w:val="Hyperlink"/>
    <w:basedOn w:val="Fontepargpadro"/>
    <w:uiPriority w:val="99"/>
    <w:semiHidden/>
    <w:unhideWhenUsed/>
    <w:rsid w:val="00032822"/>
    <w:rPr>
      <w:color w:val="0000FF"/>
      <w:u w:val="single"/>
    </w:rPr>
  </w:style>
  <w:style w:type="character" w:customStyle="1" w:styleId="apple-converted-space">
    <w:name w:val="apple-converted-space"/>
    <w:basedOn w:val="Fontepargpadro"/>
    <w:rsid w:val="00032822"/>
  </w:style>
  <w:style w:type="paragraph" w:styleId="Recuodecorpodetexto2">
    <w:name w:val="Body Text Indent 2"/>
    <w:basedOn w:val="Normal"/>
    <w:link w:val="Recuodecorpodetexto2Char"/>
    <w:uiPriority w:val="99"/>
    <w:semiHidden/>
    <w:unhideWhenUsed/>
    <w:rsid w:val="00032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03282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32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2822"/>
    <w:rPr>
      <w:b/>
      <w:bCs/>
    </w:rPr>
  </w:style>
  <w:style w:type="character" w:styleId="Hyperlink">
    <w:name w:val="Hyperlink"/>
    <w:basedOn w:val="Fontepargpadro"/>
    <w:uiPriority w:val="99"/>
    <w:semiHidden/>
    <w:unhideWhenUsed/>
    <w:rsid w:val="00032822"/>
    <w:rPr>
      <w:color w:val="0000FF"/>
      <w:u w:val="single"/>
    </w:rPr>
  </w:style>
  <w:style w:type="character" w:customStyle="1" w:styleId="apple-converted-space">
    <w:name w:val="apple-converted-space"/>
    <w:basedOn w:val="Fontepargpadro"/>
    <w:rsid w:val="00032822"/>
  </w:style>
  <w:style w:type="paragraph" w:styleId="Recuodecorpodetexto2">
    <w:name w:val="Body Text Indent 2"/>
    <w:basedOn w:val="Normal"/>
    <w:link w:val="Recuodecorpodetexto2Char"/>
    <w:uiPriority w:val="99"/>
    <w:semiHidden/>
    <w:unhideWhenUsed/>
    <w:rsid w:val="00032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03282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985.htm" TargetMode="External"/><Relationship Id="rId18" Type="http://schemas.openxmlformats.org/officeDocument/2006/relationships/hyperlink" Target="http://www.planalto.gov.br/ccivil_03/LEIS/L9985.htm" TargetMode="External"/><Relationship Id="rId26" Type="http://schemas.openxmlformats.org/officeDocument/2006/relationships/hyperlink" Target="http://www.planalto.gov.br/ccivil_03/LEIS/L8666cons.htm" TargetMode="External"/><Relationship Id="rId39" Type="http://schemas.openxmlformats.org/officeDocument/2006/relationships/hyperlink" Target="http://www.planalto.gov.br/ccivil_03/_Ato2007-2010/2009/Decreto/D6848.htm" TargetMode="External"/><Relationship Id="rId21" Type="http://schemas.openxmlformats.org/officeDocument/2006/relationships/hyperlink" Target="http://www.planalto.gov.br/ccivil_03/LEIS/L9985.htm" TargetMode="External"/><Relationship Id="rId34" Type="http://schemas.openxmlformats.org/officeDocument/2006/relationships/hyperlink" Target="http://www.planalto.gov.br/ccivil_03/_Ato2007-2010/2009/Decreto/D6848.htm" TargetMode="External"/><Relationship Id="rId42" Type="http://schemas.openxmlformats.org/officeDocument/2006/relationships/hyperlink" Target="http://www.planalto.gov.br/ccivil_03/_Ato2007-2010/2009/Decreto/D6848.htm" TargetMode="External"/><Relationship Id="rId47" Type="http://schemas.openxmlformats.org/officeDocument/2006/relationships/hyperlink" Target="http://www.planalto.gov.br/ccivil_03/_Ato2007-2010/2009/Decreto/D6848.htm" TargetMode="External"/><Relationship Id="rId50" Type="http://schemas.openxmlformats.org/officeDocument/2006/relationships/hyperlink" Target="http://www.planalto.gov.br/ccivil_03/_Ato2007-2010/2009/Decreto/D6848.htm" TargetMode="External"/><Relationship Id="rId55" Type="http://schemas.openxmlformats.org/officeDocument/2006/relationships/hyperlink" Target="http://www.planalto.gov.br/ccivil_03/LEIS/L9985.htm" TargetMode="External"/><Relationship Id="rId7" Type="http://schemas.openxmlformats.org/officeDocument/2006/relationships/hyperlink" Target="http://www.planalto.gov.br/ccivil_03/LEIS/L9985.htm" TargetMode="External"/><Relationship Id="rId12" Type="http://schemas.openxmlformats.org/officeDocument/2006/relationships/hyperlink" Target="http://www.planalto.gov.br/ccivil_03/LEIS/L9985.htm" TargetMode="External"/><Relationship Id="rId17" Type="http://schemas.openxmlformats.org/officeDocument/2006/relationships/hyperlink" Target="http://www.planalto.gov.br/ccivil_03/LEIS/L9985.htm" TargetMode="External"/><Relationship Id="rId25" Type="http://schemas.openxmlformats.org/officeDocument/2006/relationships/hyperlink" Target="http://www.planalto.gov.br/ccivil_03/LEIS/L9790.htm" TargetMode="External"/><Relationship Id="rId33" Type="http://schemas.openxmlformats.org/officeDocument/2006/relationships/hyperlink" Target="http://www.planalto.gov.br/ccivil_03/_Ato2007-2010/2009/Decreto/D6848.htm" TargetMode="External"/><Relationship Id="rId38" Type="http://schemas.openxmlformats.org/officeDocument/2006/relationships/hyperlink" Target="http://www.planalto.gov.br/ccivil_03/_Ato2007-2010/2009/Decreto/D6848.htm" TargetMode="External"/><Relationship Id="rId46" Type="http://schemas.openxmlformats.org/officeDocument/2006/relationships/hyperlink" Target="http://www.planalto.gov.br/ccivil_03/_Ato2007-2010/2009/Decreto/D6848.ht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lanalto.gov.br/ccivil_03/LEIS/L9985.htm" TargetMode="External"/><Relationship Id="rId20" Type="http://schemas.openxmlformats.org/officeDocument/2006/relationships/hyperlink" Target="http://www.planalto.gov.br/ccivil_03/LEIS/L9985.htm" TargetMode="External"/><Relationship Id="rId29" Type="http://schemas.openxmlformats.org/officeDocument/2006/relationships/hyperlink" Target="http://www.planalto.gov.br/ccivil_03/_Ato2004-2006/2005/Decreto/D5566.htm" TargetMode="External"/><Relationship Id="rId41" Type="http://schemas.openxmlformats.org/officeDocument/2006/relationships/hyperlink" Target="http://www.planalto.gov.br/ccivil_03/_Ato2007-2010/2009/Decreto/D6848.htm" TargetMode="External"/><Relationship Id="rId54" Type="http://schemas.openxmlformats.org/officeDocument/2006/relationships/hyperlink" Target="http://www.planalto.gov.br/ccivil_03/LEIS/L9985.htm" TargetMode="External"/><Relationship Id="rId1" Type="http://schemas.openxmlformats.org/officeDocument/2006/relationships/styles" Target="styles.xml"/><Relationship Id="rId6" Type="http://schemas.openxmlformats.org/officeDocument/2006/relationships/hyperlink" Target="http://www.planalto.gov.br/ccivil_03/LEIS/L9985.htm" TargetMode="External"/><Relationship Id="rId11" Type="http://schemas.openxmlformats.org/officeDocument/2006/relationships/hyperlink" Target="http://www.planalto.gov.br/ccivil_03/LEIS/L9985.htm" TargetMode="External"/><Relationship Id="rId24" Type="http://schemas.openxmlformats.org/officeDocument/2006/relationships/hyperlink" Target="http://www.planalto.gov.br/ccivil_03/LEIS/L9985.htm" TargetMode="External"/><Relationship Id="rId32" Type="http://schemas.openxmlformats.org/officeDocument/2006/relationships/hyperlink" Target="http://www.planalto.gov.br/ccivil_03/_Ato2007-2010/2009/Decreto/D6848.htm" TargetMode="External"/><Relationship Id="rId37" Type="http://schemas.openxmlformats.org/officeDocument/2006/relationships/hyperlink" Target="http://www.planalto.gov.br/ccivil_03/_Ato2007-2010/2009/Decreto/D6848.htm" TargetMode="External"/><Relationship Id="rId40" Type="http://schemas.openxmlformats.org/officeDocument/2006/relationships/hyperlink" Target="http://www.planalto.gov.br/ccivil_03/_Ato2007-2010/2009/Decreto/D6848.htm" TargetMode="External"/><Relationship Id="rId45" Type="http://schemas.openxmlformats.org/officeDocument/2006/relationships/hyperlink" Target="http://www.planalto.gov.br/ccivil_03/_Ato2007-2010/2009/Decreto/D6848.htm" TargetMode="External"/><Relationship Id="rId53" Type="http://schemas.openxmlformats.org/officeDocument/2006/relationships/hyperlink" Target="http://www.planalto.gov.br/ccivil_03/LEIS/L9985.htm" TargetMode="External"/><Relationship Id="rId58" Type="http://schemas.openxmlformats.org/officeDocument/2006/relationships/hyperlink" Target="http://www.planalto.gov.br/ccivil_03/decreto/2001/D3834.htm" TargetMode="External"/><Relationship Id="rId5" Type="http://schemas.openxmlformats.org/officeDocument/2006/relationships/hyperlink" Target="http://legislacao.planalto.gov.br/legisla/legislacao.nsf/Viw_Identificacao/DEC%204.340-2002?OpenDocument" TargetMode="External"/><Relationship Id="rId15" Type="http://schemas.openxmlformats.org/officeDocument/2006/relationships/hyperlink" Target="http://www.planalto.gov.br/ccivil_03/LEIS/L9985.htm" TargetMode="External"/><Relationship Id="rId23" Type="http://schemas.openxmlformats.org/officeDocument/2006/relationships/hyperlink" Target="http://www.planalto.gov.br/ccivil_03/LEIS/L9985.htm" TargetMode="External"/><Relationship Id="rId28" Type="http://schemas.openxmlformats.org/officeDocument/2006/relationships/hyperlink" Target="http://www.planalto.gov.br/ccivil_03/LEIS/L9985.htm" TargetMode="External"/><Relationship Id="rId36" Type="http://schemas.openxmlformats.org/officeDocument/2006/relationships/hyperlink" Target="http://www.planalto.gov.br/ccivil_03/_Ato2007-2010/2009/Decreto/D6848.htm" TargetMode="External"/><Relationship Id="rId49" Type="http://schemas.openxmlformats.org/officeDocument/2006/relationships/hyperlink" Target="http://www.planalto.gov.br/ccivil_03/_Ato2007-2010/2009/Decreto/D6848.htm" TargetMode="External"/><Relationship Id="rId57" Type="http://schemas.openxmlformats.org/officeDocument/2006/relationships/hyperlink" Target="http://www.planalto.gov.br/ccivil_03/LEIS/L9985.htm" TargetMode="External"/><Relationship Id="rId10" Type="http://schemas.openxmlformats.org/officeDocument/2006/relationships/hyperlink" Target="http://www.planalto.gov.br/ccivil_03/LEIS/L9985.htm" TargetMode="External"/><Relationship Id="rId19" Type="http://schemas.openxmlformats.org/officeDocument/2006/relationships/hyperlink" Target="http://www.planalto.gov.br/ccivil_03/LEIS/L9985.htm" TargetMode="External"/><Relationship Id="rId31" Type="http://schemas.openxmlformats.org/officeDocument/2006/relationships/hyperlink" Target="http://www.planalto.gov.br/ccivil_03/_Ato2007-2010/2009/Decreto/D6848.htm" TargetMode="External"/><Relationship Id="rId44" Type="http://schemas.openxmlformats.org/officeDocument/2006/relationships/hyperlink" Target="http://www.planalto.gov.br/ccivil_03/_Ato2007-2010/2009/Decreto/D6848.htm" TargetMode="External"/><Relationship Id="rId52" Type="http://schemas.openxmlformats.org/officeDocument/2006/relationships/hyperlink" Target="http://www.planalto.gov.br/ccivil_03/_Ato2007-2010/2009/Decreto/D6848.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9985.htm" TargetMode="External"/><Relationship Id="rId14" Type="http://schemas.openxmlformats.org/officeDocument/2006/relationships/hyperlink" Target="http://www.planalto.gov.br/ccivil_03/LEIS/L9985.htm" TargetMode="External"/><Relationship Id="rId22" Type="http://schemas.openxmlformats.org/officeDocument/2006/relationships/hyperlink" Target="http://www.planalto.gov.br/ccivil_03/LEIS/L9985.htm" TargetMode="External"/><Relationship Id="rId27" Type="http://schemas.openxmlformats.org/officeDocument/2006/relationships/hyperlink" Target="http://www.planalto.gov.br/ccivil_03/LEIS/L9985.htm" TargetMode="External"/><Relationship Id="rId30" Type="http://schemas.openxmlformats.org/officeDocument/2006/relationships/hyperlink" Target="http://www.planalto.gov.br/ccivil_03/_Ato2007-2010/2009/Decreto/D6848.htm" TargetMode="External"/><Relationship Id="rId35" Type="http://schemas.openxmlformats.org/officeDocument/2006/relationships/hyperlink" Target="http://www.planalto.gov.br/ccivil_03/_Ato2007-2010/2009/Decreto/D6848.htm" TargetMode="External"/><Relationship Id="rId43" Type="http://schemas.openxmlformats.org/officeDocument/2006/relationships/hyperlink" Target="http://www.planalto.gov.br/ccivil_03/_Ato2007-2010/2009/Decreto/D6848.htm" TargetMode="External"/><Relationship Id="rId48" Type="http://schemas.openxmlformats.org/officeDocument/2006/relationships/hyperlink" Target="http://www.planalto.gov.br/ccivil_03/_Ato2007-2010/2009/Decreto/D6848.htm" TargetMode="External"/><Relationship Id="rId56" Type="http://schemas.openxmlformats.org/officeDocument/2006/relationships/hyperlink" Target="http://www.planalto.gov.br/ccivil_03/LEIS/L9985.htm" TargetMode="External"/><Relationship Id="rId8" Type="http://schemas.openxmlformats.org/officeDocument/2006/relationships/hyperlink" Target="http://www.planalto.gov.br/ccivil_03/LEIS/L9985.htm" TargetMode="External"/><Relationship Id="rId51" Type="http://schemas.openxmlformats.org/officeDocument/2006/relationships/hyperlink" Target="http://www.planalto.gov.br/ccivil_03/_Ato2007-2010/2009/Decreto/D6848.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5166</Words>
  <Characters>27900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2017-04-10T01:44:00Z</dcterms:created>
  <dcterms:modified xsi:type="dcterms:W3CDTF">2017-04-10T01:45:00Z</dcterms:modified>
</cp:coreProperties>
</file>